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800" w:type="dxa"/>
        <w:tblCellMar>
          <w:top w:w="15" w:type="dxa"/>
          <w:left w:w="15" w:type="dxa"/>
          <w:bottom w:w="15" w:type="dxa"/>
          <w:right w:w="15" w:type="dxa"/>
        </w:tblCellMar>
        <w:tblLook w:val="04A0" w:firstRow="1" w:lastRow="0" w:firstColumn="1" w:lastColumn="0" w:noHBand="0" w:noVBand="1"/>
      </w:tblPr>
      <w:tblGrid>
        <w:gridCol w:w="7482"/>
        <w:gridCol w:w="159"/>
        <w:gridCol w:w="159"/>
      </w:tblGrid>
      <w:tr w:rsidR="006200A7" w:rsidRPr="003D1FE2" w14:paraId="529B3595" w14:textId="77777777" w:rsidTr="0011019C">
        <w:tc>
          <w:tcPr>
            <w:tcW w:w="0" w:type="auto"/>
            <w:tcBorders>
              <w:top w:val="nil"/>
              <w:left w:val="nil"/>
              <w:bottom w:val="nil"/>
              <w:right w:val="nil"/>
            </w:tcBorders>
            <w:tcMar>
              <w:top w:w="90" w:type="dxa"/>
              <w:left w:w="90" w:type="dxa"/>
              <w:bottom w:w="0" w:type="dxa"/>
              <w:right w:w="30" w:type="dxa"/>
            </w:tcMar>
            <w:vAlign w:val="center"/>
          </w:tcPr>
          <w:p w14:paraId="5C36DCE8" w14:textId="77777777" w:rsidR="006200A7" w:rsidRPr="00DC2B2E" w:rsidRDefault="006200A7" w:rsidP="002C35D5">
            <w:pPr>
              <w:spacing w:after="0"/>
              <w:jc w:val="center"/>
              <w:rPr>
                <w:rFonts w:ascii="Arial" w:eastAsia="Calibri" w:hAnsi="Arial" w:cs="Arial"/>
                <w:b/>
                <w:bCs/>
                <w:color w:val="1F3864" w:themeColor="accent5" w:themeShade="80"/>
                <w:sz w:val="23"/>
                <w:szCs w:val="23"/>
                <w:lang w:eastAsia="ru-RU"/>
              </w:rPr>
            </w:pPr>
            <w:r w:rsidRPr="00DC2B2E">
              <w:rPr>
                <w:rFonts w:ascii="Arial" w:eastAsia="Calibri" w:hAnsi="Arial" w:cs="Arial"/>
                <w:b/>
                <w:bCs/>
                <w:color w:val="1F3864" w:themeColor="accent5" w:themeShade="80"/>
                <w:sz w:val="23"/>
                <w:szCs w:val="23"/>
                <w:lang w:eastAsia="ru-RU"/>
              </w:rPr>
              <w:t>ИНСТРУКЦИЯ ПО МЕДИЦИНСКОМУ ПРИМЕНЕНИЮ</w:t>
            </w:r>
          </w:p>
          <w:p w14:paraId="3FC58A45" w14:textId="1B01D0BA" w:rsidR="006200A7" w:rsidRPr="00DC2B2E" w:rsidRDefault="006200A7" w:rsidP="002C35D5">
            <w:pPr>
              <w:spacing w:after="0"/>
              <w:jc w:val="center"/>
              <w:rPr>
                <w:rFonts w:ascii="Arial" w:eastAsia="Calibri" w:hAnsi="Arial" w:cs="Arial"/>
                <w:b/>
                <w:color w:val="1F3864" w:themeColor="accent5" w:themeShade="80"/>
                <w:sz w:val="23"/>
                <w:szCs w:val="23"/>
                <w:lang w:eastAsia="ru-RU"/>
              </w:rPr>
            </w:pPr>
            <w:r>
              <w:rPr>
                <w:rFonts w:ascii="Arial" w:eastAsia="Calibri" w:hAnsi="Arial" w:cs="Arial"/>
                <w:b/>
                <w:bCs/>
                <w:color w:val="1F3864" w:themeColor="accent5" w:themeShade="80"/>
                <w:sz w:val="24"/>
                <w:szCs w:val="24"/>
                <w:lang w:eastAsia="ru-RU"/>
              </w:rPr>
              <w:t>Проецин</w:t>
            </w:r>
            <w:r w:rsidRPr="00DC2B2E">
              <w:rPr>
                <w:rFonts w:ascii="Arial" w:eastAsia="Calibri" w:hAnsi="Arial" w:cs="Arial"/>
                <w:b/>
                <w:bCs/>
                <w:color w:val="1F3864" w:themeColor="accent5" w:themeShade="80"/>
                <w:sz w:val="24"/>
                <w:szCs w:val="24"/>
                <w:vertAlign w:val="superscript"/>
                <w:lang w:eastAsia="ru-RU"/>
              </w:rPr>
              <w:t>®</w:t>
            </w:r>
            <w:r w:rsidRPr="00DC2B2E">
              <w:rPr>
                <w:rFonts w:ascii="Arial" w:eastAsia="Calibri" w:hAnsi="Arial" w:cs="Arial"/>
                <w:b/>
                <w:bCs/>
                <w:color w:val="1F3864" w:themeColor="accent5" w:themeShade="80"/>
                <w:sz w:val="24"/>
                <w:szCs w:val="24"/>
                <w:lang w:eastAsia="ru-RU"/>
              </w:rPr>
              <w:t xml:space="preserve"> </w:t>
            </w:r>
            <w:r>
              <w:rPr>
                <w:rFonts w:ascii="Arial" w:eastAsia="Calibri" w:hAnsi="Arial" w:cs="Arial"/>
                <w:b/>
                <w:bCs/>
                <w:color w:val="1F3864" w:themeColor="accent5" w:themeShade="80"/>
                <w:sz w:val="24"/>
                <w:szCs w:val="24"/>
                <w:lang w:eastAsia="ru-RU"/>
              </w:rPr>
              <w:t>сироп</w:t>
            </w:r>
            <w:r w:rsidRPr="00DC2B2E">
              <w:rPr>
                <w:rFonts w:ascii="Arial" w:eastAsia="Calibri" w:hAnsi="Arial" w:cs="Arial"/>
                <w:b/>
                <w:color w:val="1F3864" w:themeColor="accent5" w:themeShade="80"/>
                <w:sz w:val="23"/>
                <w:szCs w:val="23"/>
                <w:lang w:eastAsia="ru-RU"/>
              </w:rPr>
              <w:t xml:space="preserve"> </w:t>
            </w:r>
            <w:r>
              <w:rPr>
                <w:rFonts w:ascii="Arial" w:eastAsia="Calibri" w:hAnsi="Arial" w:cs="Arial"/>
                <w:b/>
                <w:color w:val="1F3864" w:themeColor="accent5" w:themeShade="80"/>
                <w:sz w:val="23"/>
                <w:szCs w:val="23"/>
                <w:lang w:eastAsia="ru-RU"/>
              </w:rPr>
              <w:t>100 мл</w:t>
            </w:r>
            <w:r w:rsidR="00CA7F31">
              <w:rPr>
                <w:rFonts w:ascii="Arial" w:eastAsia="Calibri" w:hAnsi="Arial" w:cs="Arial"/>
                <w:b/>
                <w:color w:val="1F3864" w:themeColor="accent5" w:themeShade="80"/>
                <w:sz w:val="23"/>
                <w:szCs w:val="23"/>
                <w:lang w:eastAsia="ru-RU"/>
              </w:rPr>
              <w:t>.</w:t>
            </w:r>
          </w:p>
          <w:p w14:paraId="185658AD" w14:textId="77777777" w:rsidR="006200A7" w:rsidRPr="00DC2B2E" w:rsidRDefault="006200A7" w:rsidP="0011019C">
            <w:pPr>
              <w:spacing w:after="0"/>
              <w:rPr>
                <w:rFonts w:ascii="Arial" w:eastAsia="Calibri" w:hAnsi="Arial" w:cs="Arial"/>
                <w:b/>
                <w:color w:val="1F3864" w:themeColor="accent5" w:themeShade="80"/>
                <w:sz w:val="23"/>
                <w:szCs w:val="23"/>
                <w:lang w:eastAsia="ru-RU"/>
              </w:rPr>
            </w:pPr>
          </w:p>
          <w:p w14:paraId="4394B5FF" w14:textId="0A6B673B" w:rsidR="006200A7" w:rsidRDefault="006200A7" w:rsidP="0011019C">
            <w:pPr>
              <w:spacing w:after="0"/>
              <w:rPr>
                <w:rFonts w:ascii="Arial" w:eastAsia="Calibri" w:hAnsi="Arial" w:cs="Arial"/>
                <w:b/>
                <w:bCs/>
                <w:color w:val="1F3864" w:themeColor="accent5" w:themeShade="80"/>
                <w:sz w:val="24"/>
                <w:szCs w:val="24"/>
                <w:lang w:eastAsia="ru-RU"/>
              </w:rPr>
            </w:pPr>
            <w:r w:rsidRPr="00DC2B2E">
              <w:rPr>
                <w:rFonts w:ascii="Arial" w:eastAsia="Calibri" w:hAnsi="Arial" w:cs="Arial"/>
                <w:b/>
                <w:color w:val="1F3864" w:themeColor="accent5" w:themeShade="80"/>
                <w:sz w:val="23"/>
                <w:szCs w:val="23"/>
                <w:lang w:eastAsia="ru-RU"/>
              </w:rPr>
              <w:t>Торговое название:</w:t>
            </w:r>
            <w:r>
              <w:rPr>
                <w:rFonts w:ascii="Arial" w:eastAsia="Calibri" w:hAnsi="Arial" w:cs="Arial"/>
                <w:b/>
                <w:color w:val="1F3864" w:themeColor="accent5" w:themeShade="80"/>
                <w:sz w:val="23"/>
                <w:szCs w:val="23"/>
                <w:lang w:eastAsia="ru-RU"/>
              </w:rPr>
              <w:t xml:space="preserve"> Проецин</w:t>
            </w:r>
            <w:r w:rsidRPr="00DC2B2E">
              <w:rPr>
                <w:rFonts w:ascii="Arial" w:eastAsia="Calibri" w:hAnsi="Arial" w:cs="Arial"/>
                <w:b/>
                <w:bCs/>
                <w:color w:val="1F3864" w:themeColor="accent5" w:themeShade="80"/>
                <w:sz w:val="24"/>
                <w:szCs w:val="24"/>
                <w:vertAlign w:val="superscript"/>
                <w:lang w:eastAsia="ru-RU"/>
              </w:rPr>
              <w:t>®</w:t>
            </w:r>
            <w:r w:rsidR="00CA7F31">
              <w:rPr>
                <w:rFonts w:ascii="Arial" w:eastAsia="Calibri" w:hAnsi="Arial" w:cs="Arial"/>
                <w:b/>
                <w:bCs/>
                <w:color w:val="1F3864" w:themeColor="accent5" w:themeShade="80"/>
                <w:sz w:val="24"/>
                <w:szCs w:val="24"/>
                <w:lang w:eastAsia="ru-RU"/>
              </w:rPr>
              <w:t>.</w:t>
            </w:r>
          </w:p>
          <w:p w14:paraId="3B16C69D" w14:textId="77777777" w:rsidR="006200A7" w:rsidRPr="003D1FE2" w:rsidRDefault="006200A7" w:rsidP="0011019C">
            <w:pPr>
              <w:spacing w:after="0"/>
              <w:rPr>
                <w:rFonts w:eastAsia="Times New Roman" w:cs="Times New Roman"/>
                <w:kern w:val="0"/>
                <w:sz w:val="20"/>
                <w:szCs w:val="20"/>
                <w:lang w:eastAsia="ru-RU"/>
                <w14:ligatures w14:val="none"/>
              </w:rPr>
            </w:pPr>
          </w:p>
        </w:tc>
        <w:tc>
          <w:tcPr>
            <w:tcW w:w="0" w:type="auto"/>
            <w:tcBorders>
              <w:top w:val="nil"/>
              <w:left w:val="nil"/>
              <w:bottom w:val="nil"/>
              <w:right w:val="nil"/>
            </w:tcBorders>
            <w:tcMar>
              <w:top w:w="90" w:type="dxa"/>
              <w:left w:w="90" w:type="dxa"/>
              <w:bottom w:w="0" w:type="dxa"/>
              <w:right w:w="30" w:type="dxa"/>
            </w:tcMar>
            <w:vAlign w:val="center"/>
          </w:tcPr>
          <w:p w14:paraId="73CE39BE" w14:textId="77777777" w:rsidR="006200A7" w:rsidRPr="003D1FE2" w:rsidRDefault="006200A7" w:rsidP="0011019C">
            <w:pPr>
              <w:spacing w:before="75" w:after="75" w:line="255" w:lineRule="atLeast"/>
              <w:rPr>
                <w:rFonts w:eastAsia="Times New Roman" w:cs="Times New Roman"/>
                <w:kern w:val="0"/>
                <w:sz w:val="20"/>
                <w:szCs w:val="20"/>
                <w:lang w:eastAsia="ru-RU"/>
                <w14:ligatures w14:val="none"/>
              </w:rPr>
            </w:pPr>
          </w:p>
        </w:tc>
        <w:tc>
          <w:tcPr>
            <w:tcW w:w="0" w:type="auto"/>
            <w:tcBorders>
              <w:top w:val="nil"/>
              <w:left w:val="nil"/>
              <w:bottom w:val="nil"/>
              <w:right w:val="nil"/>
            </w:tcBorders>
            <w:tcMar>
              <w:top w:w="90" w:type="dxa"/>
              <w:left w:w="90" w:type="dxa"/>
              <w:bottom w:w="0" w:type="dxa"/>
              <w:right w:w="30" w:type="dxa"/>
            </w:tcMar>
            <w:vAlign w:val="center"/>
          </w:tcPr>
          <w:p w14:paraId="498A1D84" w14:textId="77777777" w:rsidR="006200A7" w:rsidRPr="003D1FE2" w:rsidRDefault="006200A7" w:rsidP="0011019C">
            <w:pPr>
              <w:spacing w:after="0" w:line="180" w:lineRule="atLeast"/>
              <w:ind w:left="150"/>
              <w:rPr>
                <w:rFonts w:eastAsia="Times New Roman" w:cs="Times New Roman"/>
                <w:kern w:val="0"/>
                <w:sz w:val="18"/>
                <w:szCs w:val="18"/>
                <w:lang w:eastAsia="ru-RU"/>
                <w14:ligatures w14:val="none"/>
              </w:rPr>
            </w:pPr>
          </w:p>
        </w:tc>
      </w:tr>
    </w:tbl>
    <w:p w14:paraId="27636CCC" w14:textId="30D5F417" w:rsidR="006200A7" w:rsidRPr="00546916"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 xml:space="preserve">Форма выпуска, упаковка и состав </w:t>
      </w:r>
      <w:r w:rsidR="002C35D5">
        <w:rPr>
          <w:rFonts w:ascii="Arial" w:eastAsia="Times New Roman" w:hAnsi="Arial" w:cs="Arial"/>
          <w:b/>
          <w:bCs/>
          <w:color w:val="1F3864" w:themeColor="accent5" w:themeShade="80"/>
          <w:kern w:val="0"/>
          <w:sz w:val="23"/>
          <w:szCs w:val="23"/>
          <w:lang w:eastAsia="ru-RU"/>
          <w14:ligatures w14:val="none"/>
        </w:rPr>
        <w:t>сироп</w:t>
      </w:r>
      <w:r w:rsidRPr="00546916">
        <w:rPr>
          <w:rFonts w:ascii="Arial" w:eastAsia="Times New Roman" w:hAnsi="Arial" w:cs="Arial"/>
          <w:b/>
          <w:bCs/>
          <w:color w:val="1F3864" w:themeColor="accent5" w:themeShade="80"/>
          <w:kern w:val="0"/>
          <w:sz w:val="23"/>
          <w:szCs w:val="23"/>
          <w:lang w:eastAsia="ru-RU"/>
          <w14:ligatures w14:val="none"/>
        </w:rPr>
        <w:t>а Проецин</w:t>
      </w:r>
      <w:r w:rsidRPr="00546916">
        <w:rPr>
          <w:rFonts w:ascii="Arial" w:eastAsia="Times New Roman" w:hAnsi="Arial" w:cs="Arial"/>
          <w:b/>
          <w:bCs/>
          <w:color w:val="1F3864" w:themeColor="accent5" w:themeShade="80"/>
          <w:kern w:val="0"/>
          <w:sz w:val="23"/>
          <w:szCs w:val="23"/>
          <w:vertAlign w:val="superscript"/>
          <w:lang w:eastAsia="ru-RU"/>
          <w14:ligatures w14:val="none"/>
        </w:rPr>
        <w:t>®</w:t>
      </w:r>
    </w:p>
    <w:p w14:paraId="2C519584" w14:textId="4C590D9A" w:rsidR="006200A7" w:rsidRPr="003D1FE2" w:rsidRDefault="00CA7F31" w:rsidP="006200A7">
      <w:pPr>
        <w:spacing w:after="0"/>
        <w:rPr>
          <w:rFonts w:ascii="Arial" w:eastAsia="Times New Roman" w:hAnsi="Arial" w:cs="Arial"/>
          <w:color w:val="333333"/>
          <w:kern w:val="0"/>
          <w:sz w:val="21"/>
          <w:szCs w:val="21"/>
          <w:lang w:eastAsia="ru-RU"/>
          <w14:ligatures w14:val="none"/>
        </w:rPr>
      </w:pPr>
      <w:r>
        <w:rPr>
          <w:rFonts w:ascii="Arial" w:eastAsia="Times New Roman" w:hAnsi="Arial" w:cs="Arial"/>
          <w:color w:val="333333"/>
          <w:kern w:val="0"/>
          <w:sz w:val="21"/>
          <w:szCs w:val="21"/>
          <w:lang w:eastAsia="ru-RU"/>
          <w14:ligatures w14:val="none"/>
        </w:rPr>
        <w:t>.</w:t>
      </w:r>
    </w:p>
    <w:p w14:paraId="41C98AF0" w14:textId="5D225D8A" w:rsidR="00642462" w:rsidRDefault="00642462" w:rsidP="00642462">
      <w:pPr>
        <w:spacing w:before="150" w:after="150"/>
        <w:rPr>
          <w:rFonts w:ascii="Arial" w:eastAsia="Times New Roman" w:hAnsi="Arial" w:cs="Arial"/>
          <w:color w:val="333333"/>
          <w:kern w:val="0"/>
          <w:sz w:val="20"/>
          <w:szCs w:val="20"/>
          <w:lang w:eastAsia="ru-RU"/>
          <w14:ligatures w14:val="none"/>
        </w:rPr>
      </w:pPr>
      <w:r w:rsidRPr="00642462">
        <w:rPr>
          <w:rFonts w:ascii="Arial" w:eastAsia="Times New Roman" w:hAnsi="Arial" w:cs="Arial"/>
          <w:color w:val="333333"/>
          <w:kern w:val="0"/>
          <w:sz w:val="20"/>
          <w:szCs w:val="20"/>
          <w:lang w:eastAsia="ru-RU"/>
          <w14:ligatures w14:val="none"/>
        </w:rPr>
        <w:t>Капли для приема внутрь. По 100 мл препарата во флакон</w:t>
      </w:r>
      <w:r w:rsidR="00856B1F">
        <w:rPr>
          <w:rFonts w:ascii="Arial" w:eastAsia="Times New Roman" w:hAnsi="Arial" w:cs="Arial"/>
          <w:color w:val="333333"/>
          <w:kern w:val="0"/>
          <w:sz w:val="20"/>
          <w:szCs w:val="20"/>
          <w:lang w:eastAsia="ru-RU"/>
          <w14:ligatures w14:val="none"/>
        </w:rPr>
        <w:t xml:space="preserve">е из </w:t>
      </w:r>
      <w:r w:rsidRPr="00642462">
        <w:rPr>
          <w:rFonts w:ascii="Arial" w:eastAsia="Times New Roman" w:hAnsi="Arial" w:cs="Arial"/>
          <w:color w:val="333333"/>
          <w:kern w:val="0"/>
          <w:sz w:val="20"/>
          <w:szCs w:val="20"/>
          <w:lang w:eastAsia="ru-RU"/>
          <w14:ligatures w14:val="none"/>
        </w:rPr>
        <w:t>т</w:t>
      </w:r>
      <w:r w:rsidR="00856B1F">
        <w:rPr>
          <w:rFonts w:ascii="Arial" w:eastAsia="Times New Roman" w:hAnsi="Arial" w:cs="Arial"/>
          <w:color w:val="333333"/>
          <w:kern w:val="0"/>
          <w:sz w:val="20"/>
          <w:szCs w:val="20"/>
          <w:lang w:eastAsia="ru-RU"/>
          <w14:ligatures w14:val="none"/>
        </w:rPr>
        <w:t>ё</w:t>
      </w:r>
      <w:r w:rsidRPr="00642462">
        <w:rPr>
          <w:rFonts w:ascii="Arial" w:eastAsia="Times New Roman" w:hAnsi="Arial" w:cs="Arial"/>
          <w:color w:val="333333"/>
          <w:kern w:val="0"/>
          <w:sz w:val="20"/>
          <w:szCs w:val="20"/>
          <w:lang w:eastAsia="ru-RU"/>
          <w14:ligatures w14:val="none"/>
        </w:rPr>
        <w:t xml:space="preserve">много стекла с дозирующим капельным устройством сверху, </w:t>
      </w:r>
      <w:r w:rsidR="00856B1F">
        <w:rPr>
          <w:rFonts w:ascii="Arial" w:eastAsia="Times New Roman" w:hAnsi="Arial" w:cs="Arial"/>
          <w:color w:val="333333"/>
          <w:kern w:val="0"/>
          <w:sz w:val="20"/>
          <w:szCs w:val="20"/>
          <w:lang w:eastAsia="ru-RU"/>
          <w14:ligatures w14:val="none"/>
        </w:rPr>
        <w:t xml:space="preserve">с навинчивающейся </w:t>
      </w:r>
      <w:r w:rsidRPr="00642462">
        <w:rPr>
          <w:rFonts w:ascii="Arial" w:eastAsia="Times New Roman" w:hAnsi="Arial" w:cs="Arial"/>
          <w:color w:val="333333"/>
          <w:kern w:val="0"/>
          <w:sz w:val="20"/>
          <w:szCs w:val="20"/>
          <w:lang w:eastAsia="ru-RU"/>
          <w14:ligatures w14:val="none"/>
        </w:rPr>
        <w:t>крышкой</w:t>
      </w:r>
      <w:r w:rsidR="00856B1F">
        <w:rPr>
          <w:rFonts w:ascii="Arial" w:eastAsia="Times New Roman" w:hAnsi="Arial" w:cs="Arial"/>
          <w:color w:val="333333"/>
          <w:kern w:val="0"/>
          <w:sz w:val="20"/>
          <w:szCs w:val="20"/>
          <w:lang w:eastAsia="ru-RU"/>
          <w14:ligatures w14:val="none"/>
        </w:rPr>
        <w:t xml:space="preserve"> и с предохранительным кольцом</w:t>
      </w:r>
      <w:r w:rsidRPr="00642462">
        <w:rPr>
          <w:rFonts w:ascii="Arial" w:eastAsia="Times New Roman" w:hAnsi="Arial" w:cs="Arial"/>
          <w:color w:val="333333"/>
          <w:kern w:val="0"/>
          <w:sz w:val="20"/>
          <w:szCs w:val="20"/>
          <w:lang w:eastAsia="ru-RU"/>
          <w14:ligatures w14:val="none"/>
        </w:rPr>
        <w:t xml:space="preserve">, </w:t>
      </w:r>
      <w:r w:rsidR="00AA343C">
        <w:rPr>
          <w:rFonts w:ascii="Arial" w:eastAsia="Times New Roman" w:hAnsi="Arial" w:cs="Arial"/>
          <w:color w:val="333333"/>
          <w:kern w:val="0"/>
          <w:sz w:val="20"/>
          <w:szCs w:val="20"/>
          <w:lang w:eastAsia="ru-RU"/>
          <w14:ligatures w14:val="none"/>
        </w:rPr>
        <w:t>а также</w:t>
      </w:r>
      <w:r w:rsidRPr="00642462">
        <w:rPr>
          <w:rFonts w:ascii="Arial" w:eastAsia="Times New Roman" w:hAnsi="Arial" w:cs="Arial"/>
          <w:color w:val="333333"/>
          <w:kern w:val="0"/>
          <w:sz w:val="20"/>
          <w:szCs w:val="20"/>
          <w:lang w:eastAsia="ru-RU"/>
          <w14:ligatures w14:val="none"/>
        </w:rPr>
        <w:t xml:space="preserve"> инструкцией</w:t>
      </w:r>
      <w:r w:rsidR="00AA343C">
        <w:rPr>
          <w:rFonts w:ascii="Arial" w:eastAsia="Times New Roman" w:hAnsi="Arial" w:cs="Arial"/>
          <w:color w:val="333333"/>
          <w:kern w:val="0"/>
          <w:sz w:val="20"/>
          <w:szCs w:val="20"/>
          <w:lang w:eastAsia="ru-RU"/>
          <w14:ligatures w14:val="none"/>
        </w:rPr>
        <w:t>,</w:t>
      </w:r>
      <w:r w:rsidRPr="00642462">
        <w:rPr>
          <w:rFonts w:ascii="Arial" w:eastAsia="Times New Roman" w:hAnsi="Arial" w:cs="Arial"/>
          <w:color w:val="333333"/>
          <w:kern w:val="0"/>
          <w:sz w:val="20"/>
          <w:szCs w:val="20"/>
          <w:lang w:eastAsia="ru-RU"/>
          <w14:ligatures w14:val="none"/>
        </w:rPr>
        <w:t xml:space="preserve"> помещ</w:t>
      </w:r>
      <w:r w:rsidR="00CA7F31">
        <w:rPr>
          <w:rFonts w:ascii="Arial" w:eastAsia="Times New Roman" w:hAnsi="Arial" w:cs="Arial"/>
          <w:color w:val="333333"/>
          <w:kern w:val="0"/>
          <w:sz w:val="20"/>
          <w:szCs w:val="20"/>
          <w:lang w:eastAsia="ru-RU"/>
          <w14:ligatures w14:val="none"/>
        </w:rPr>
        <w:t>ё</w:t>
      </w:r>
      <w:r w:rsidR="00856B1F">
        <w:rPr>
          <w:rFonts w:ascii="Arial" w:eastAsia="Times New Roman" w:hAnsi="Arial" w:cs="Arial"/>
          <w:color w:val="333333"/>
          <w:kern w:val="0"/>
          <w:sz w:val="20"/>
          <w:szCs w:val="20"/>
          <w:lang w:eastAsia="ru-RU"/>
          <w14:ligatures w14:val="none"/>
        </w:rPr>
        <w:t>нн</w:t>
      </w:r>
      <w:r w:rsidR="00AA343C">
        <w:rPr>
          <w:rFonts w:ascii="Arial" w:eastAsia="Times New Roman" w:hAnsi="Arial" w:cs="Arial"/>
          <w:color w:val="333333"/>
          <w:kern w:val="0"/>
          <w:sz w:val="20"/>
          <w:szCs w:val="20"/>
          <w:lang w:eastAsia="ru-RU"/>
          <w14:ligatures w14:val="none"/>
        </w:rPr>
        <w:t>ыми</w:t>
      </w:r>
      <w:r w:rsidRPr="00642462">
        <w:rPr>
          <w:rFonts w:ascii="Arial" w:eastAsia="Times New Roman" w:hAnsi="Arial" w:cs="Arial"/>
          <w:color w:val="333333"/>
          <w:kern w:val="0"/>
          <w:sz w:val="20"/>
          <w:szCs w:val="20"/>
          <w:lang w:eastAsia="ru-RU"/>
          <w14:ligatures w14:val="none"/>
        </w:rPr>
        <w:t xml:space="preserve"> в складную картонную коробку.</w:t>
      </w:r>
    </w:p>
    <w:p w14:paraId="5FD6E0C9" w14:textId="6BE3FCD7" w:rsidR="00642462" w:rsidRDefault="00642462" w:rsidP="00642462">
      <w:pPr>
        <w:spacing w:before="150" w:after="150"/>
        <w:rPr>
          <w:rFonts w:ascii="Arial" w:eastAsia="Times New Roman" w:hAnsi="Arial" w:cs="Arial"/>
          <w:color w:val="333333"/>
          <w:kern w:val="0"/>
          <w:sz w:val="20"/>
          <w:szCs w:val="20"/>
          <w:lang w:eastAsia="ru-RU"/>
          <w14:ligatures w14:val="none"/>
        </w:rPr>
      </w:pPr>
      <w:r w:rsidRPr="002C35D5">
        <w:rPr>
          <w:rFonts w:ascii="Arial" w:eastAsia="Times New Roman" w:hAnsi="Arial" w:cs="Arial"/>
          <w:color w:val="333333"/>
          <w:kern w:val="0"/>
          <w:sz w:val="20"/>
          <w:szCs w:val="20"/>
          <w:lang w:eastAsia="ru-RU"/>
          <w14:ligatures w14:val="none"/>
        </w:rPr>
        <w:t>Прозрачная, желтовато-коричневая жидкость с ароматным запахом. Возможно легкое помутнение или выпадение незначительного осадка в процессе хранения.</w:t>
      </w:r>
    </w:p>
    <w:p w14:paraId="529A85DC" w14:textId="517A59FB" w:rsidR="00642462" w:rsidRPr="003D1FE2" w:rsidRDefault="00642462" w:rsidP="006200A7">
      <w:pPr>
        <w:spacing w:before="150" w:after="150"/>
        <w:rPr>
          <w:rFonts w:ascii="Arial" w:eastAsia="Times New Roman" w:hAnsi="Arial" w:cs="Arial"/>
          <w:color w:val="333333"/>
          <w:kern w:val="0"/>
          <w:sz w:val="20"/>
          <w:szCs w:val="20"/>
          <w:lang w:eastAsia="ru-RU"/>
          <w14:ligatures w14:val="none"/>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63"/>
        <w:gridCol w:w="1275"/>
      </w:tblGrid>
      <w:tr w:rsidR="006200A7" w:rsidRPr="003D1FE2" w14:paraId="0AE23C51" w14:textId="77777777" w:rsidTr="0011019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0931091" w14:textId="77777777" w:rsidR="006200A7" w:rsidRPr="005D1E4A" w:rsidRDefault="006200A7" w:rsidP="0011019C">
            <w:pPr>
              <w:spacing w:after="0"/>
              <w:rPr>
                <w:rFonts w:ascii="Arial" w:eastAsia="Times New Roman" w:hAnsi="Arial" w:cs="Arial"/>
                <w:color w:val="333333"/>
                <w:kern w:val="0"/>
                <w:sz w:val="22"/>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4EF4978" w14:textId="1262692D" w:rsidR="006200A7" w:rsidRPr="005D1E4A" w:rsidRDefault="006200A7" w:rsidP="0011019C">
            <w:pPr>
              <w:spacing w:before="75" w:after="75"/>
              <w:rPr>
                <w:rFonts w:eastAsia="Times New Roman" w:cs="Times New Roman"/>
                <w:kern w:val="0"/>
                <w:sz w:val="22"/>
                <w:lang w:eastAsia="ru-RU"/>
                <w14:ligatures w14:val="none"/>
              </w:rPr>
            </w:pPr>
            <w:r w:rsidRPr="005D1E4A">
              <w:rPr>
                <w:rFonts w:eastAsia="Times New Roman" w:cs="Times New Roman"/>
                <w:b/>
                <w:bCs/>
                <w:kern w:val="0"/>
                <w:sz w:val="22"/>
                <w:lang w:eastAsia="ru-RU"/>
                <w14:ligatures w14:val="none"/>
              </w:rPr>
              <w:t>1</w:t>
            </w:r>
            <w:r w:rsidR="002C35D5">
              <w:rPr>
                <w:rFonts w:eastAsia="Times New Roman" w:cs="Times New Roman"/>
                <w:b/>
                <w:bCs/>
                <w:kern w:val="0"/>
                <w:sz w:val="22"/>
                <w:lang w:eastAsia="ru-RU"/>
                <w14:ligatures w14:val="none"/>
              </w:rPr>
              <w:t>00 гр</w:t>
            </w:r>
            <w:r w:rsidRPr="005D1E4A">
              <w:rPr>
                <w:rFonts w:eastAsia="Times New Roman" w:cs="Times New Roman"/>
                <w:b/>
                <w:bCs/>
                <w:kern w:val="0"/>
                <w:sz w:val="22"/>
                <w:lang w:eastAsia="ru-RU"/>
                <w14:ligatures w14:val="none"/>
              </w:rPr>
              <w:t>.</w:t>
            </w:r>
          </w:p>
        </w:tc>
      </w:tr>
      <w:tr w:rsidR="006200A7" w:rsidRPr="003D1FE2" w14:paraId="79497520" w14:textId="77777777" w:rsidTr="0011019C">
        <w:tc>
          <w:tcPr>
            <w:tcW w:w="0" w:type="auto"/>
            <w:gridSpan w:val="2"/>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430A57D" w14:textId="03F2CD88" w:rsidR="006200A7" w:rsidRPr="002C35D5" w:rsidRDefault="002C35D5" w:rsidP="002C35D5">
            <w:pPr>
              <w:spacing w:before="150" w:after="150"/>
              <w:rPr>
                <w:rFonts w:ascii="Arial" w:eastAsia="Times New Roman" w:hAnsi="Arial" w:cs="Arial"/>
                <w:i/>
                <w:iCs/>
                <w:color w:val="333333"/>
                <w:kern w:val="0"/>
                <w:sz w:val="20"/>
                <w:szCs w:val="20"/>
                <w:lang w:eastAsia="ru-RU"/>
                <w14:ligatures w14:val="none"/>
              </w:rPr>
            </w:pPr>
            <w:r w:rsidRPr="002C35D5">
              <w:rPr>
                <w:rFonts w:ascii="Arial" w:eastAsia="Times New Roman" w:hAnsi="Arial" w:cs="Arial"/>
                <w:i/>
                <w:iCs/>
                <w:color w:val="333333"/>
                <w:kern w:val="0"/>
                <w:sz w:val="20"/>
                <w:szCs w:val="20"/>
                <w:lang w:eastAsia="ru-RU"/>
                <w14:ligatures w14:val="none"/>
              </w:rPr>
              <w:t xml:space="preserve">100 </w:t>
            </w:r>
            <w:r w:rsidR="009E6424">
              <w:rPr>
                <w:rFonts w:ascii="Arial" w:eastAsia="Times New Roman" w:hAnsi="Arial" w:cs="Arial"/>
                <w:i/>
                <w:iCs/>
                <w:color w:val="333333"/>
                <w:kern w:val="0"/>
                <w:sz w:val="20"/>
                <w:szCs w:val="20"/>
                <w:lang w:eastAsia="ru-RU"/>
                <w14:ligatures w14:val="none"/>
              </w:rPr>
              <w:t>г</w:t>
            </w:r>
            <w:r w:rsidRPr="002C35D5">
              <w:rPr>
                <w:rFonts w:ascii="Arial" w:eastAsia="Times New Roman" w:hAnsi="Arial" w:cs="Arial"/>
                <w:i/>
                <w:iCs/>
                <w:color w:val="333333"/>
                <w:kern w:val="0"/>
                <w:sz w:val="20"/>
                <w:szCs w:val="20"/>
                <w:lang w:eastAsia="ru-RU"/>
                <w14:ligatures w14:val="none"/>
              </w:rPr>
              <w:t xml:space="preserve"> капель </w:t>
            </w:r>
            <w:r>
              <w:rPr>
                <w:rFonts w:ascii="Arial" w:eastAsia="Times New Roman" w:hAnsi="Arial" w:cs="Arial"/>
                <w:i/>
                <w:iCs/>
                <w:color w:val="333333"/>
                <w:kern w:val="0"/>
                <w:sz w:val="20"/>
                <w:szCs w:val="20"/>
                <w:lang w:eastAsia="ru-RU"/>
                <w14:ligatures w14:val="none"/>
              </w:rPr>
              <w:t>Проецин</w:t>
            </w:r>
            <w:r w:rsidRPr="002C35D5">
              <w:rPr>
                <w:rFonts w:ascii="Arial" w:eastAsia="Times New Roman" w:hAnsi="Arial" w:cs="Arial"/>
                <w:i/>
                <w:iCs/>
                <w:color w:val="333333"/>
                <w:kern w:val="0"/>
                <w:sz w:val="20"/>
                <w:szCs w:val="20"/>
                <w:vertAlign w:val="superscript"/>
                <w:lang w:eastAsia="ru-RU"/>
                <w14:ligatures w14:val="none"/>
              </w:rPr>
              <w:t>®</w:t>
            </w:r>
            <w:r w:rsidRPr="002C35D5">
              <w:rPr>
                <w:rFonts w:ascii="Arial" w:eastAsia="Times New Roman" w:hAnsi="Arial" w:cs="Arial"/>
                <w:i/>
                <w:iCs/>
                <w:color w:val="333333"/>
                <w:kern w:val="0"/>
                <w:sz w:val="20"/>
                <w:szCs w:val="20"/>
                <w:lang w:eastAsia="ru-RU"/>
                <w14:ligatures w14:val="none"/>
              </w:rPr>
              <w:t> содержат 29 г водно-спиртового экстракта из смеси следующих видов лекарственного растительного сырья:</w:t>
            </w:r>
          </w:p>
        </w:tc>
      </w:tr>
      <w:tr w:rsidR="006200A7" w:rsidRPr="003D1FE2" w14:paraId="1AA2B475" w14:textId="77777777" w:rsidTr="0011019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21F447A" w14:textId="77777777" w:rsidR="006200A7" w:rsidRPr="005D1E4A" w:rsidRDefault="006200A7" w:rsidP="0011019C">
            <w:pPr>
              <w:spacing w:before="75" w:after="75"/>
              <w:rPr>
                <w:rFonts w:eastAsia="Times New Roman" w:cs="Times New Roman"/>
                <w:kern w:val="0"/>
                <w:sz w:val="22"/>
                <w:lang w:eastAsia="ru-RU"/>
                <w14:ligatures w14:val="none"/>
              </w:rPr>
            </w:pPr>
            <w:r w:rsidRPr="005D1E4A">
              <w:rPr>
                <w:rFonts w:eastAsia="Times New Roman" w:cs="Times New Roman"/>
                <w:kern w:val="0"/>
                <w:sz w:val="22"/>
                <w:lang w:eastAsia="ru-RU"/>
                <w14:ligatures w14:val="none"/>
              </w:rPr>
              <w:t>горечавки желтой корни (Gentianae luteae radicibus)</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492B125" w14:textId="79116AEB" w:rsidR="006200A7" w:rsidRPr="005D1E4A" w:rsidRDefault="002C35D5" w:rsidP="0011019C">
            <w:pPr>
              <w:spacing w:before="75" w:after="75"/>
              <w:rPr>
                <w:rFonts w:eastAsia="Times New Roman" w:cs="Times New Roman"/>
                <w:kern w:val="0"/>
                <w:sz w:val="22"/>
                <w:lang w:eastAsia="ru-RU"/>
                <w14:ligatures w14:val="none"/>
              </w:rPr>
            </w:pPr>
            <w:r>
              <w:rPr>
                <w:rFonts w:eastAsia="Times New Roman" w:cs="Times New Roman"/>
                <w:kern w:val="0"/>
                <w:sz w:val="22"/>
                <w:lang w:eastAsia="ru-RU"/>
                <w14:ligatures w14:val="none"/>
              </w:rPr>
              <w:t>0,2</w:t>
            </w:r>
            <w:r w:rsidR="006200A7" w:rsidRPr="005D1E4A">
              <w:rPr>
                <w:rFonts w:eastAsia="Times New Roman" w:cs="Times New Roman"/>
                <w:kern w:val="0"/>
                <w:sz w:val="22"/>
                <w:lang w:eastAsia="ru-RU"/>
                <w14:ligatures w14:val="none"/>
              </w:rPr>
              <w:t xml:space="preserve"> г</w:t>
            </w:r>
          </w:p>
        </w:tc>
      </w:tr>
      <w:tr w:rsidR="006200A7" w:rsidRPr="003D1FE2" w14:paraId="27A00D0A" w14:textId="77777777" w:rsidTr="0011019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EF1A213" w14:textId="77777777" w:rsidR="006200A7" w:rsidRPr="005D1E4A" w:rsidRDefault="006200A7" w:rsidP="0011019C">
            <w:pPr>
              <w:spacing w:before="75" w:after="75"/>
              <w:rPr>
                <w:rFonts w:eastAsia="Times New Roman" w:cs="Times New Roman"/>
                <w:kern w:val="0"/>
                <w:sz w:val="22"/>
                <w:lang w:eastAsia="ru-RU"/>
                <w14:ligatures w14:val="none"/>
              </w:rPr>
            </w:pPr>
            <w:r w:rsidRPr="005D1E4A">
              <w:rPr>
                <w:rFonts w:eastAsia="Times New Roman" w:cs="Times New Roman"/>
                <w:kern w:val="0"/>
                <w:sz w:val="22"/>
                <w:lang w:eastAsia="ru-RU"/>
                <w14:ligatures w14:val="none"/>
              </w:rPr>
              <w:t>первоцвета цветки (Primulae flores)</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6E3AE3C" w14:textId="2754A73B" w:rsidR="006200A7" w:rsidRPr="005D1E4A" w:rsidRDefault="002C35D5" w:rsidP="0011019C">
            <w:pPr>
              <w:spacing w:before="75" w:after="75"/>
              <w:rPr>
                <w:rFonts w:eastAsia="Times New Roman" w:cs="Times New Roman"/>
                <w:kern w:val="0"/>
                <w:sz w:val="22"/>
                <w:lang w:eastAsia="ru-RU"/>
                <w14:ligatures w14:val="none"/>
              </w:rPr>
            </w:pPr>
            <w:r>
              <w:rPr>
                <w:rFonts w:eastAsia="Times New Roman" w:cs="Times New Roman"/>
                <w:kern w:val="0"/>
                <w:sz w:val="22"/>
                <w:lang w:eastAsia="ru-RU"/>
                <w14:ligatures w14:val="none"/>
              </w:rPr>
              <w:t>0,6</w:t>
            </w:r>
            <w:r w:rsidR="006200A7" w:rsidRPr="005D1E4A">
              <w:rPr>
                <w:rFonts w:eastAsia="Times New Roman" w:cs="Times New Roman"/>
                <w:kern w:val="0"/>
                <w:sz w:val="22"/>
                <w:lang w:eastAsia="ru-RU"/>
                <w14:ligatures w14:val="none"/>
              </w:rPr>
              <w:t xml:space="preserve"> г</w:t>
            </w:r>
          </w:p>
        </w:tc>
      </w:tr>
      <w:tr w:rsidR="006200A7" w:rsidRPr="003D1FE2" w14:paraId="6DEB5629" w14:textId="77777777" w:rsidTr="0011019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220F8EC" w14:textId="77777777" w:rsidR="006200A7" w:rsidRPr="005D1E4A" w:rsidRDefault="006200A7" w:rsidP="0011019C">
            <w:pPr>
              <w:spacing w:before="75" w:after="75"/>
              <w:rPr>
                <w:rFonts w:eastAsia="Times New Roman" w:cs="Times New Roman"/>
                <w:kern w:val="0"/>
                <w:sz w:val="22"/>
                <w:lang w:eastAsia="ru-RU"/>
                <w14:ligatures w14:val="none"/>
              </w:rPr>
            </w:pPr>
            <w:r w:rsidRPr="005D1E4A">
              <w:rPr>
                <w:rFonts w:eastAsia="Times New Roman" w:cs="Times New Roman"/>
                <w:kern w:val="0"/>
                <w:sz w:val="22"/>
                <w:lang w:eastAsia="ru-RU"/>
                <w14:ligatures w14:val="none"/>
              </w:rPr>
              <w:t>щавеля трава (Rumicis herbae)</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5FA49BC" w14:textId="646E12F0" w:rsidR="006200A7" w:rsidRPr="005D1E4A" w:rsidRDefault="002C35D5" w:rsidP="0011019C">
            <w:pPr>
              <w:spacing w:before="75" w:after="75"/>
              <w:rPr>
                <w:rFonts w:eastAsia="Times New Roman" w:cs="Times New Roman"/>
                <w:kern w:val="0"/>
                <w:sz w:val="22"/>
                <w:lang w:eastAsia="ru-RU"/>
                <w14:ligatures w14:val="none"/>
              </w:rPr>
            </w:pPr>
            <w:r>
              <w:rPr>
                <w:rFonts w:eastAsia="Times New Roman" w:cs="Times New Roman"/>
                <w:kern w:val="0"/>
                <w:sz w:val="22"/>
                <w:lang w:eastAsia="ru-RU"/>
                <w14:ligatures w14:val="none"/>
              </w:rPr>
              <w:t>0,6</w:t>
            </w:r>
            <w:r w:rsidR="006200A7" w:rsidRPr="005D1E4A">
              <w:rPr>
                <w:rFonts w:eastAsia="Times New Roman" w:cs="Times New Roman"/>
                <w:kern w:val="0"/>
                <w:sz w:val="22"/>
                <w:lang w:eastAsia="ru-RU"/>
                <w14:ligatures w14:val="none"/>
              </w:rPr>
              <w:t xml:space="preserve"> г</w:t>
            </w:r>
          </w:p>
        </w:tc>
      </w:tr>
      <w:tr w:rsidR="006200A7" w:rsidRPr="003D1FE2" w14:paraId="3694ABE0" w14:textId="77777777" w:rsidTr="0011019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8554AD1" w14:textId="77777777" w:rsidR="006200A7" w:rsidRPr="005D1E4A" w:rsidRDefault="006200A7" w:rsidP="0011019C">
            <w:pPr>
              <w:spacing w:before="75" w:after="75"/>
              <w:rPr>
                <w:rFonts w:eastAsia="Times New Roman" w:cs="Times New Roman"/>
                <w:kern w:val="0"/>
                <w:sz w:val="22"/>
                <w:lang w:eastAsia="ru-RU"/>
                <w14:ligatures w14:val="none"/>
              </w:rPr>
            </w:pPr>
            <w:r w:rsidRPr="005D1E4A">
              <w:rPr>
                <w:rFonts w:eastAsia="Times New Roman" w:cs="Times New Roman"/>
                <w:kern w:val="0"/>
                <w:sz w:val="22"/>
                <w:lang w:eastAsia="ru-RU"/>
                <w14:ligatures w14:val="none"/>
              </w:rPr>
              <w:t>бузины черной цветки (Sambuci nigrae flores)</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B2431BA" w14:textId="78296FCE" w:rsidR="006200A7" w:rsidRPr="005D1E4A" w:rsidRDefault="002C35D5" w:rsidP="0011019C">
            <w:pPr>
              <w:spacing w:before="75" w:after="75"/>
              <w:rPr>
                <w:rFonts w:eastAsia="Times New Roman" w:cs="Times New Roman"/>
                <w:kern w:val="0"/>
                <w:sz w:val="22"/>
                <w:lang w:eastAsia="ru-RU"/>
                <w14:ligatures w14:val="none"/>
              </w:rPr>
            </w:pPr>
            <w:r>
              <w:rPr>
                <w:rFonts w:eastAsia="Times New Roman" w:cs="Times New Roman"/>
                <w:kern w:val="0"/>
                <w:sz w:val="22"/>
                <w:lang w:eastAsia="ru-RU"/>
                <w14:ligatures w14:val="none"/>
              </w:rPr>
              <w:t>0,6</w:t>
            </w:r>
            <w:r w:rsidR="006200A7" w:rsidRPr="005D1E4A">
              <w:rPr>
                <w:rFonts w:eastAsia="Times New Roman" w:cs="Times New Roman"/>
                <w:kern w:val="0"/>
                <w:sz w:val="22"/>
                <w:lang w:eastAsia="ru-RU"/>
                <w14:ligatures w14:val="none"/>
              </w:rPr>
              <w:t xml:space="preserve"> г</w:t>
            </w:r>
          </w:p>
        </w:tc>
      </w:tr>
      <w:tr w:rsidR="006200A7" w:rsidRPr="003D1FE2" w14:paraId="03F3F2EE" w14:textId="77777777" w:rsidTr="0011019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0927B3C" w14:textId="77777777" w:rsidR="006200A7" w:rsidRPr="005D1E4A" w:rsidRDefault="006200A7" w:rsidP="0011019C">
            <w:pPr>
              <w:spacing w:before="75" w:after="75"/>
              <w:rPr>
                <w:rFonts w:eastAsia="Times New Roman" w:cs="Times New Roman"/>
                <w:kern w:val="0"/>
                <w:sz w:val="22"/>
                <w:lang w:eastAsia="ru-RU"/>
                <w14:ligatures w14:val="none"/>
              </w:rPr>
            </w:pPr>
            <w:r w:rsidRPr="005D1E4A">
              <w:rPr>
                <w:rFonts w:eastAsia="Times New Roman" w:cs="Times New Roman"/>
                <w:kern w:val="0"/>
                <w:sz w:val="22"/>
                <w:lang w:eastAsia="ru-RU"/>
                <w14:ligatures w14:val="none"/>
              </w:rPr>
              <w:t>вербены лекарственной трава (Verbenae officinale herbae)</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E8E4B85" w14:textId="2ABB4999" w:rsidR="006200A7" w:rsidRPr="005D1E4A" w:rsidRDefault="002C35D5" w:rsidP="0011019C">
            <w:pPr>
              <w:spacing w:before="75" w:after="75"/>
              <w:rPr>
                <w:rFonts w:eastAsia="Times New Roman" w:cs="Times New Roman"/>
                <w:kern w:val="0"/>
                <w:sz w:val="22"/>
                <w:lang w:eastAsia="ru-RU"/>
                <w14:ligatures w14:val="none"/>
              </w:rPr>
            </w:pPr>
            <w:r>
              <w:rPr>
                <w:rFonts w:eastAsia="Times New Roman" w:cs="Times New Roman"/>
                <w:kern w:val="0"/>
                <w:sz w:val="22"/>
                <w:lang w:eastAsia="ru-RU"/>
                <w14:ligatures w14:val="none"/>
              </w:rPr>
              <w:t>0,6</w:t>
            </w:r>
            <w:r w:rsidR="006200A7" w:rsidRPr="005D1E4A">
              <w:rPr>
                <w:rFonts w:eastAsia="Times New Roman" w:cs="Times New Roman"/>
                <w:kern w:val="0"/>
                <w:sz w:val="22"/>
                <w:lang w:eastAsia="ru-RU"/>
                <w14:ligatures w14:val="none"/>
              </w:rPr>
              <w:t xml:space="preserve"> г</w:t>
            </w:r>
          </w:p>
        </w:tc>
      </w:tr>
    </w:tbl>
    <w:p w14:paraId="4171E3BA" w14:textId="77777777" w:rsidR="002C35D5" w:rsidRPr="00965F15" w:rsidRDefault="002C35D5" w:rsidP="00965F15">
      <w:pPr>
        <w:spacing w:before="150" w:after="150"/>
        <w:rPr>
          <w:rFonts w:ascii="Arial" w:eastAsia="Times New Roman" w:hAnsi="Arial" w:cs="Arial"/>
          <w:color w:val="333333"/>
          <w:kern w:val="0"/>
          <w:sz w:val="20"/>
          <w:szCs w:val="20"/>
          <w:lang w:eastAsia="ru-RU"/>
          <w14:ligatures w14:val="none"/>
        </w:rPr>
      </w:pPr>
      <w:r w:rsidRPr="00965F15">
        <w:rPr>
          <w:rFonts w:ascii="Arial" w:eastAsia="Times New Roman" w:hAnsi="Arial" w:cs="Arial"/>
          <w:color w:val="333333"/>
          <w:kern w:val="0"/>
          <w:sz w:val="20"/>
          <w:szCs w:val="20"/>
          <w:lang w:eastAsia="ru-RU"/>
          <w14:ligatures w14:val="none"/>
        </w:rPr>
        <w:t>Содержание этанола: 16,0 – 19,0 % (о/о)</w:t>
      </w:r>
    </w:p>
    <w:p w14:paraId="6C0440F2" w14:textId="5048398B" w:rsidR="006200A7" w:rsidRDefault="002C35D5" w:rsidP="006200A7">
      <w:pPr>
        <w:spacing w:before="150" w:after="150"/>
        <w:rPr>
          <w:rFonts w:ascii="Arial" w:eastAsia="Times New Roman" w:hAnsi="Arial" w:cs="Arial"/>
          <w:color w:val="333333"/>
          <w:kern w:val="0"/>
          <w:sz w:val="20"/>
          <w:szCs w:val="20"/>
          <w:lang w:eastAsia="ru-RU"/>
          <w14:ligatures w14:val="none"/>
        </w:rPr>
      </w:pPr>
      <w:r w:rsidRPr="002C35D5">
        <w:rPr>
          <w:rFonts w:ascii="Arial" w:eastAsia="Times New Roman" w:hAnsi="Arial" w:cs="Arial"/>
          <w:b/>
          <w:bCs/>
          <w:i/>
          <w:iCs/>
          <w:color w:val="333333"/>
          <w:kern w:val="0"/>
          <w:sz w:val="20"/>
          <w:szCs w:val="20"/>
          <w:lang w:eastAsia="ru-RU"/>
          <w14:ligatures w14:val="none"/>
        </w:rPr>
        <w:t>Вспомогательные вещества</w:t>
      </w:r>
      <w:r w:rsidR="00965F15">
        <w:rPr>
          <w:rFonts w:ascii="Arial" w:eastAsia="Times New Roman" w:hAnsi="Arial" w:cs="Arial"/>
          <w:b/>
          <w:bCs/>
          <w:i/>
          <w:iCs/>
          <w:color w:val="333333"/>
          <w:kern w:val="0"/>
          <w:sz w:val="20"/>
          <w:szCs w:val="20"/>
          <w:lang w:eastAsia="ru-RU"/>
          <w14:ligatures w14:val="none"/>
        </w:rPr>
        <w:t xml:space="preserve">: </w:t>
      </w:r>
      <w:r w:rsidRPr="00965F15">
        <w:rPr>
          <w:rFonts w:ascii="Arial" w:eastAsia="Times New Roman" w:hAnsi="Arial" w:cs="Arial"/>
          <w:color w:val="333333"/>
          <w:kern w:val="0"/>
          <w:sz w:val="20"/>
          <w:szCs w:val="20"/>
          <w:lang w:eastAsia="ru-RU"/>
          <w14:ligatures w14:val="none"/>
        </w:rPr>
        <w:t>Очищенная вода 71,0 г</w:t>
      </w:r>
      <w:r w:rsidR="00545836">
        <w:rPr>
          <w:rFonts w:ascii="Arial" w:eastAsia="Times New Roman" w:hAnsi="Arial" w:cs="Arial"/>
          <w:color w:val="333333"/>
          <w:kern w:val="0"/>
          <w:sz w:val="20"/>
          <w:szCs w:val="20"/>
          <w:lang w:eastAsia="ru-RU"/>
          <w14:ligatures w14:val="none"/>
        </w:rPr>
        <w:t>.</w:t>
      </w:r>
    </w:p>
    <w:p w14:paraId="2D75EAC6" w14:textId="77777777" w:rsidR="003771A6" w:rsidRPr="003771A6" w:rsidRDefault="003771A6" w:rsidP="006200A7">
      <w:pPr>
        <w:spacing w:before="150" w:after="150"/>
        <w:rPr>
          <w:rFonts w:ascii="Arial" w:eastAsia="Times New Roman" w:hAnsi="Arial" w:cs="Arial"/>
          <w:color w:val="333333"/>
          <w:kern w:val="0"/>
          <w:sz w:val="20"/>
          <w:szCs w:val="20"/>
          <w:lang w:eastAsia="ru-RU"/>
          <w14:ligatures w14:val="none"/>
        </w:rPr>
      </w:pPr>
    </w:p>
    <w:p w14:paraId="7A3C86E3" w14:textId="40BA02D7" w:rsidR="006200A7" w:rsidRPr="003771A6" w:rsidRDefault="006200A7" w:rsidP="006200A7">
      <w:pPr>
        <w:spacing w:before="150" w:after="150"/>
        <w:rPr>
          <w:rFonts w:ascii="Arial" w:eastAsia="Times New Roman" w:hAnsi="Arial" w:cs="Arial"/>
          <w:kern w:val="0"/>
          <w:sz w:val="20"/>
          <w:szCs w:val="20"/>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Клинико-фармакологическая группа:</w:t>
      </w:r>
      <w:r w:rsidRPr="00546916">
        <w:rPr>
          <w:rFonts w:ascii="Arial" w:eastAsia="Times New Roman" w:hAnsi="Arial" w:cs="Arial"/>
          <w:color w:val="1F3864" w:themeColor="accent5" w:themeShade="80"/>
          <w:kern w:val="0"/>
          <w:sz w:val="21"/>
          <w:szCs w:val="21"/>
          <w:lang w:eastAsia="ru-RU"/>
          <w14:ligatures w14:val="none"/>
        </w:rPr>
        <w:t> </w:t>
      </w:r>
      <w:hyperlink r:id="rId5" w:history="1">
        <w:r w:rsidRPr="003771A6">
          <w:rPr>
            <w:rFonts w:ascii="Arial" w:eastAsia="Times New Roman" w:hAnsi="Arial" w:cs="Arial"/>
            <w:kern w:val="0"/>
            <w:sz w:val="21"/>
            <w:szCs w:val="21"/>
            <w:lang w:eastAsia="ru-RU"/>
            <w14:ligatures w14:val="none"/>
          </w:rPr>
          <w:t>Комбинированный препарат растительного происхождения с секретолитическим, секретомоторным, противовоспалительным и противовирусным действием</w:t>
        </w:r>
      </w:hyperlink>
      <w:r w:rsidR="00CA7F31">
        <w:t>.</w:t>
      </w:r>
    </w:p>
    <w:p w14:paraId="7F0F9FC8" w14:textId="3B0BDC0E" w:rsidR="006200A7" w:rsidRPr="003771A6" w:rsidRDefault="006200A7" w:rsidP="006200A7">
      <w:pPr>
        <w:spacing w:after="0"/>
        <w:rPr>
          <w:rFonts w:ascii="Arial" w:eastAsia="Times New Roman" w:hAnsi="Arial" w:cs="Arial"/>
          <w:kern w:val="0"/>
          <w:sz w:val="20"/>
          <w:szCs w:val="20"/>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Фармако-терапевтическая группа:</w:t>
      </w:r>
      <w:r w:rsidRPr="00546916">
        <w:rPr>
          <w:rFonts w:ascii="Arial" w:eastAsia="Times New Roman" w:hAnsi="Arial" w:cs="Arial"/>
          <w:color w:val="1F3864" w:themeColor="accent5" w:themeShade="80"/>
          <w:kern w:val="0"/>
          <w:sz w:val="21"/>
          <w:szCs w:val="21"/>
          <w:lang w:eastAsia="ru-RU"/>
          <w14:ligatures w14:val="none"/>
        </w:rPr>
        <w:t> </w:t>
      </w:r>
      <w:hyperlink r:id="rId6" w:history="1">
        <w:r w:rsidRPr="003771A6">
          <w:rPr>
            <w:rFonts w:ascii="Arial" w:eastAsia="Times New Roman" w:hAnsi="Arial" w:cs="Arial"/>
            <w:kern w:val="0"/>
            <w:sz w:val="21"/>
            <w:szCs w:val="21"/>
            <w:lang w:eastAsia="ru-RU"/>
            <w14:ligatures w14:val="none"/>
          </w:rPr>
          <w:t>Другие препараты для лечения простудных заболеваний</w:t>
        </w:r>
      </w:hyperlink>
      <w:r w:rsidR="00CA7F31">
        <w:t>.</w:t>
      </w:r>
    </w:p>
    <w:p w14:paraId="1571BC76" w14:textId="77777777" w:rsidR="006200A7" w:rsidRPr="003D1FE2" w:rsidRDefault="006200A7" w:rsidP="006200A7">
      <w:pPr>
        <w:spacing w:after="0"/>
        <w:rPr>
          <w:rFonts w:ascii="Arial" w:eastAsia="Times New Roman" w:hAnsi="Arial" w:cs="Arial"/>
          <w:color w:val="70AD47" w:themeColor="accent6"/>
          <w:kern w:val="0"/>
          <w:sz w:val="21"/>
          <w:szCs w:val="21"/>
          <w:lang w:eastAsia="ru-RU"/>
          <w14:ligatures w14:val="none"/>
        </w:rPr>
      </w:pPr>
    </w:p>
    <w:p w14:paraId="4757B7A2" w14:textId="685A465F" w:rsidR="006200A7" w:rsidRPr="00546916"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Фармакологическое действие</w:t>
      </w:r>
      <w:r w:rsidR="00CA7F31">
        <w:rPr>
          <w:rFonts w:ascii="Arial" w:eastAsia="Times New Roman" w:hAnsi="Arial" w:cs="Arial"/>
          <w:b/>
          <w:bCs/>
          <w:color w:val="1F3864" w:themeColor="accent5" w:themeShade="80"/>
          <w:kern w:val="0"/>
          <w:sz w:val="23"/>
          <w:szCs w:val="23"/>
          <w:lang w:eastAsia="ru-RU"/>
          <w14:ligatures w14:val="none"/>
        </w:rPr>
        <w:t>.</w:t>
      </w:r>
    </w:p>
    <w:p w14:paraId="3912510F" w14:textId="5105D8C8" w:rsidR="00D16A18" w:rsidRPr="00D16A18" w:rsidRDefault="006200A7" w:rsidP="00D16A18">
      <w:pPr>
        <w:spacing w:before="75" w:after="75"/>
        <w:rPr>
          <w:rFonts w:ascii="Arial" w:eastAsia="Times New Roman" w:hAnsi="Arial" w:cs="Arial"/>
          <w:color w:val="1F3864" w:themeColor="accent5" w:themeShade="80"/>
          <w:kern w:val="0"/>
          <w:sz w:val="20"/>
          <w:szCs w:val="20"/>
          <w:lang w:eastAsia="ru-RU"/>
          <w14:ligatures w14:val="none"/>
        </w:rPr>
      </w:pPr>
      <w:r w:rsidRPr="00546916">
        <w:rPr>
          <w:rFonts w:ascii="Arial" w:eastAsia="Times New Roman" w:hAnsi="Arial" w:cs="Arial"/>
          <w:b/>
          <w:bCs/>
          <w:color w:val="1F3864" w:themeColor="accent5" w:themeShade="80"/>
          <w:kern w:val="0"/>
          <w:sz w:val="20"/>
          <w:szCs w:val="20"/>
          <w:lang w:eastAsia="ru-RU"/>
          <w14:ligatures w14:val="none"/>
        </w:rPr>
        <w:t>Механизм действия и фармакодинамические свойства</w:t>
      </w:r>
      <w:r w:rsidR="00CA7F31">
        <w:rPr>
          <w:rFonts w:ascii="Arial" w:eastAsia="Times New Roman" w:hAnsi="Arial" w:cs="Arial"/>
          <w:b/>
          <w:bCs/>
          <w:color w:val="1F3864" w:themeColor="accent5" w:themeShade="80"/>
          <w:kern w:val="0"/>
          <w:sz w:val="20"/>
          <w:szCs w:val="20"/>
          <w:lang w:eastAsia="ru-RU"/>
          <w14:ligatures w14:val="none"/>
        </w:rPr>
        <w:t>.</w:t>
      </w:r>
    </w:p>
    <w:p w14:paraId="0EBC77D5" w14:textId="77777777" w:rsidR="00D16A18" w:rsidRPr="00D16A18" w:rsidRDefault="00D16A18" w:rsidP="00D16A18">
      <w:pPr>
        <w:spacing w:before="75" w:after="75"/>
        <w:rPr>
          <w:rFonts w:ascii="Arial" w:eastAsia="Times New Roman" w:hAnsi="Arial" w:cs="Arial"/>
          <w:color w:val="333333"/>
          <w:kern w:val="0"/>
          <w:sz w:val="20"/>
          <w:szCs w:val="20"/>
          <w:lang w:eastAsia="ru-RU"/>
          <w14:ligatures w14:val="none"/>
        </w:rPr>
      </w:pPr>
      <w:r w:rsidRPr="00D16A18">
        <w:rPr>
          <w:rFonts w:ascii="Arial" w:eastAsia="Times New Roman" w:hAnsi="Arial" w:cs="Arial"/>
          <w:color w:val="333333"/>
          <w:kern w:val="0"/>
          <w:sz w:val="20"/>
          <w:szCs w:val="20"/>
          <w:lang w:eastAsia="ru-RU"/>
          <w14:ligatures w14:val="none"/>
        </w:rPr>
        <w:t>Комбинированный препарат растительного происхождения.</w:t>
      </w:r>
    </w:p>
    <w:p w14:paraId="18F19BE3" w14:textId="2327796E" w:rsidR="00AA343C" w:rsidRDefault="00D16A18" w:rsidP="00AA343C">
      <w:pPr>
        <w:spacing w:before="75" w:after="75"/>
        <w:rPr>
          <w:rFonts w:ascii="Arial" w:eastAsia="Times New Roman" w:hAnsi="Arial" w:cs="Arial"/>
          <w:color w:val="333333"/>
          <w:kern w:val="0"/>
          <w:sz w:val="20"/>
          <w:szCs w:val="20"/>
          <w:lang w:eastAsia="ru-RU"/>
          <w14:ligatures w14:val="none"/>
        </w:rPr>
      </w:pPr>
      <w:r w:rsidRPr="00D16A18">
        <w:rPr>
          <w:rFonts w:ascii="Arial" w:eastAsia="Times New Roman" w:hAnsi="Arial" w:cs="Arial"/>
          <w:color w:val="333333"/>
          <w:kern w:val="0"/>
          <w:sz w:val="20"/>
          <w:szCs w:val="20"/>
          <w:lang w:eastAsia="ru-RU"/>
          <w14:ligatures w14:val="none"/>
        </w:rPr>
        <w:t>Фармакологические свойства обусловлены биологически активными веществами, входящими в состав препарата.</w:t>
      </w:r>
      <w:r w:rsidR="00794989" w:rsidRPr="00794989">
        <w:rPr>
          <w:rFonts w:ascii="Arial" w:eastAsia="Times New Roman" w:hAnsi="Arial" w:cs="Arial"/>
          <w:color w:val="333333"/>
          <w:kern w:val="0"/>
          <w:sz w:val="20"/>
          <w:szCs w:val="20"/>
          <w:lang w:eastAsia="ru-RU"/>
          <w14:ligatures w14:val="none"/>
        </w:rPr>
        <w:t xml:space="preserve"> </w:t>
      </w:r>
      <w:r w:rsidR="00794989">
        <w:rPr>
          <w:rFonts w:ascii="Arial" w:eastAsia="Times New Roman" w:hAnsi="Arial" w:cs="Arial"/>
          <w:color w:val="333333"/>
          <w:kern w:val="0"/>
          <w:sz w:val="20"/>
          <w:szCs w:val="20"/>
          <w:lang w:eastAsia="ru-RU"/>
          <w14:ligatures w14:val="none"/>
        </w:rPr>
        <w:t>Проецин</w:t>
      </w:r>
      <w:r w:rsidR="00794989" w:rsidRPr="008F1280">
        <w:rPr>
          <w:rFonts w:ascii="Arial" w:eastAsia="Times New Roman" w:hAnsi="Arial" w:cs="Arial"/>
          <w:color w:val="333333"/>
          <w:kern w:val="0"/>
          <w:sz w:val="20"/>
          <w:szCs w:val="20"/>
          <w:vertAlign w:val="superscript"/>
          <w:lang w:eastAsia="ru-RU"/>
          <w14:ligatures w14:val="none"/>
        </w:rPr>
        <w:t>®</w:t>
      </w:r>
      <w:r w:rsidR="00794989" w:rsidRPr="008F1280">
        <w:rPr>
          <w:rFonts w:ascii="Arial" w:eastAsia="Times New Roman" w:hAnsi="Arial" w:cs="Arial"/>
          <w:color w:val="333333"/>
          <w:kern w:val="0"/>
          <w:sz w:val="20"/>
          <w:szCs w:val="20"/>
          <w:lang w:eastAsia="ru-RU"/>
          <w14:ligatures w14:val="none"/>
        </w:rPr>
        <w:t> </w:t>
      </w:r>
      <w:r w:rsidRPr="00D16A18">
        <w:rPr>
          <w:rFonts w:ascii="Arial" w:eastAsia="Times New Roman" w:hAnsi="Arial" w:cs="Arial"/>
          <w:color w:val="333333"/>
          <w:kern w:val="0"/>
          <w:sz w:val="20"/>
          <w:szCs w:val="20"/>
          <w:lang w:eastAsia="ru-RU"/>
          <w14:ligatures w14:val="none"/>
        </w:rPr>
        <w:t>оказывает секретолитическое, секретомоторное, противовоспалительное, противоотечное, умеренное антибактериальное, противовирусное действие. Способствует оттоку экссудата из придаточных пазух носа и верхних дыхательных путей, предупреждая развитие осложнений</w:t>
      </w:r>
      <w:r w:rsidR="00794989">
        <w:rPr>
          <w:rFonts w:ascii="Arial" w:eastAsia="Times New Roman" w:hAnsi="Arial" w:cs="Arial"/>
          <w:color w:val="333333"/>
          <w:kern w:val="0"/>
          <w:sz w:val="20"/>
          <w:szCs w:val="20"/>
          <w:lang w:eastAsia="ru-RU"/>
          <w14:ligatures w14:val="none"/>
        </w:rPr>
        <w:t>.</w:t>
      </w:r>
    </w:p>
    <w:p w14:paraId="319B65E9" w14:textId="0A2718DD" w:rsidR="006200A7" w:rsidRPr="00AA343C" w:rsidRDefault="006200A7" w:rsidP="00AA343C">
      <w:pPr>
        <w:spacing w:before="75" w:after="75"/>
        <w:rPr>
          <w:rFonts w:ascii="Arial" w:eastAsia="Times New Roman" w:hAnsi="Arial" w:cs="Arial"/>
          <w:color w:val="333333"/>
          <w:kern w:val="0"/>
          <w:sz w:val="20"/>
          <w:szCs w:val="20"/>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Показания препарата Проецин</w:t>
      </w:r>
      <w:r w:rsidRPr="00546916">
        <w:rPr>
          <w:rFonts w:ascii="Arial" w:eastAsia="Times New Roman" w:hAnsi="Arial" w:cs="Arial"/>
          <w:b/>
          <w:bCs/>
          <w:color w:val="1F3864" w:themeColor="accent5" w:themeShade="80"/>
          <w:kern w:val="0"/>
          <w:sz w:val="23"/>
          <w:szCs w:val="23"/>
          <w:vertAlign w:val="superscript"/>
          <w:lang w:eastAsia="ru-RU"/>
          <w14:ligatures w14:val="none"/>
        </w:rPr>
        <w:t>®</w:t>
      </w:r>
    </w:p>
    <w:p w14:paraId="15DAD920" w14:textId="497607A7" w:rsidR="006200A7" w:rsidRPr="00546916" w:rsidRDefault="009E6424" w:rsidP="006200A7">
      <w:pPr>
        <w:numPr>
          <w:ilvl w:val="0"/>
          <w:numId w:val="1"/>
        </w:numPr>
        <w:spacing w:before="100" w:beforeAutospacing="1" w:after="100" w:afterAutospacing="1"/>
        <w:rPr>
          <w:rFonts w:ascii="Arial" w:eastAsia="Times New Roman" w:hAnsi="Arial" w:cs="Arial"/>
          <w:color w:val="1F3864" w:themeColor="accent5" w:themeShade="80"/>
          <w:kern w:val="0"/>
          <w:sz w:val="20"/>
          <w:szCs w:val="20"/>
          <w:lang w:eastAsia="ru-RU"/>
          <w14:ligatures w14:val="none"/>
        </w:rPr>
      </w:pPr>
      <w:r>
        <w:rPr>
          <w:rFonts w:ascii="Arial" w:eastAsia="Times New Roman" w:hAnsi="Arial" w:cs="Arial"/>
          <w:color w:val="333333"/>
          <w:kern w:val="0"/>
          <w:sz w:val="20"/>
          <w:szCs w:val="20"/>
          <w:lang w:eastAsia="ru-RU"/>
          <w14:ligatures w14:val="none"/>
        </w:rPr>
        <w:t>В комплексной терапии острого и хронического воспаления придаточных пазух</w:t>
      </w:r>
      <w:r w:rsidR="006718CD">
        <w:rPr>
          <w:rFonts w:ascii="Arial" w:eastAsia="Times New Roman" w:hAnsi="Arial" w:cs="Arial"/>
          <w:color w:val="333333"/>
          <w:kern w:val="0"/>
          <w:sz w:val="20"/>
          <w:szCs w:val="20"/>
          <w:lang w:eastAsia="ru-RU"/>
          <w14:ligatures w14:val="none"/>
        </w:rPr>
        <w:t xml:space="preserve">                    </w:t>
      </w:r>
      <w:r>
        <w:rPr>
          <w:rFonts w:ascii="Arial" w:eastAsia="Times New Roman" w:hAnsi="Arial" w:cs="Arial"/>
          <w:color w:val="333333"/>
          <w:kern w:val="0"/>
          <w:sz w:val="20"/>
          <w:szCs w:val="20"/>
          <w:lang w:eastAsia="ru-RU"/>
          <w14:ligatures w14:val="none"/>
        </w:rPr>
        <w:t xml:space="preserve"> носа </w:t>
      </w:r>
      <w:r w:rsidR="006200A7" w:rsidRPr="003D1FE2">
        <w:rPr>
          <w:rFonts w:ascii="Arial" w:eastAsia="Times New Roman" w:hAnsi="Arial" w:cs="Arial"/>
          <w:color w:val="333333"/>
          <w:kern w:val="0"/>
          <w:sz w:val="20"/>
          <w:szCs w:val="20"/>
          <w:lang w:eastAsia="ru-RU"/>
          <w14:ligatures w14:val="none"/>
        </w:rPr>
        <w:t xml:space="preserve"> (риносинусите), сопровождающемся образованием вязкого секрета.</w:t>
      </w:r>
    </w:p>
    <w:p w14:paraId="07C85501" w14:textId="2FB13627" w:rsidR="006200A7" w:rsidRPr="00546916"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lastRenderedPageBreak/>
        <w:t>Режим дозирования</w:t>
      </w:r>
      <w:r w:rsidR="00CA7F31">
        <w:rPr>
          <w:rFonts w:ascii="Arial" w:eastAsia="Times New Roman" w:hAnsi="Arial" w:cs="Arial"/>
          <w:b/>
          <w:bCs/>
          <w:color w:val="1F3864" w:themeColor="accent5" w:themeShade="80"/>
          <w:kern w:val="0"/>
          <w:sz w:val="23"/>
          <w:szCs w:val="23"/>
          <w:lang w:eastAsia="ru-RU"/>
          <w14:ligatures w14:val="none"/>
        </w:rPr>
        <w:t>.</w:t>
      </w:r>
    </w:p>
    <w:p w14:paraId="326C14AC" w14:textId="77777777" w:rsidR="00FE6398"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color w:val="333333"/>
          <w:kern w:val="0"/>
          <w:sz w:val="20"/>
          <w:szCs w:val="20"/>
          <w:lang w:eastAsia="ru-RU"/>
          <w14:ligatures w14:val="none"/>
        </w:rPr>
        <w:t xml:space="preserve">Принимают внутрь, </w:t>
      </w:r>
      <w:r w:rsidR="00FE6398" w:rsidRPr="00FE6398">
        <w:rPr>
          <w:rFonts w:ascii="Arial" w:eastAsia="Times New Roman" w:hAnsi="Arial" w:cs="Arial"/>
          <w:color w:val="333333"/>
          <w:kern w:val="0"/>
          <w:sz w:val="20"/>
          <w:szCs w:val="20"/>
          <w:lang w:eastAsia="ru-RU"/>
          <w14:ligatures w14:val="none"/>
        </w:rPr>
        <w:t>предварительно разведя в небольшом количестве воды.</w:t>
      </w:r>
    </w:p>
    <w:p w14:paraId="44E8BDFA" w14:textId="73C40CFB" w:rsidR="006200A7" w:rsidRPr="003D1FE2"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color w:val="333333"/>
          <w:kern w:val="0"/>
          <w:sz w:val="20"/>
          <w:szCs w:val="20"/>
          <w:lang w:eastAsia="ru-RU"/>
          <w14:ligatures w14:val="none"/>
        </w:rPr>
        <w:t>Рекомендуемая доза: 3 раза/</w:t>
      </w:r>
      <w:r w:rsidR="006E60B3">
        <w:rPr>
          <w:rFonts w:ascii="Arial" w:eastAsia="Times New Roman" w:hAnsi="Arial" w:cs="Arial"/>
          <w:color w:val="333333"/>
          <w:kern w:val="0"/>
          <w:sz w:val="20"/>
          <w:szCs w:val="20"/>
          <w:lang w:eastAsia="ru-RU"/>
          <w14:ligatures w14:val="none"/>
        </w:rPr>
        <w:t xml:space="preserve"> </w:t>
      </w:r>
      <w:r w:rsidRPr="003D1FE2">
        <w:rPr>
          <w:rFonts w:ascii="Arial" w:eastAsia="Times New Roman" w:hAnsi="Arial" w:cs="Arial"/>
          <w:color w:val="333333"/>
          <w:kern w:val="0"/>
          <w:sz w:val="20"/>
          <w:szCs w:val="20"/>
          <w:lang w:eastAsia="ru-RU"/>
          <w14:ligatures w14:val="none"/>
        </w:rPr>
        <w:t>сут (утром, днем и вечером) в соответствии с приведенной ниже таблицей.</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58"/>
        <w:gridCol w:w="1875"/>
        <w:gridCol w:w="2105"/>
      </w:tblGrid>
      <w:tr w:rsidR="006200A7" w:rsidRPr="003D1FE2" w14:paraId="613360A3" w14:textId="77777777" w:rsidTr="0011019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FCCF28B" w14:textId="77777777" w:rsidR="006200A7" w:rsidRPr="003D1FE2" w:rsidRDefault="006200A7" w:rsidP="0011019C">
            <w:pPr>
              <w:spacing w:before="75" w:after="75"/>
              <w:rPr>
                <w:rFonts w:eastAsia="Times New Roman" w:cs="Times New Roman"/>
                <w:kern w:val="0"/>
                <w:sz w:val="20"/>
                <w:szCs w:val="20"/>
                <w:lang w:eastAsia="ru-RU"/>
                <w14:ligatures w14:val="none"/>
              </w:rPr>
            </w:pPr>
            <w:r w:rsidRPr="003D1FE2">
              <w:rPr>
                <w:rFonts w:eastAsia="Times New Roman" w:cs="Times New Roman"/>
                <w:b/>
                <w:bCs/>
                <w:kern w:val="0"/>
                <w:sz w:val="20"/>
                <w:szCs w:val="20"/>
                <w:lang w:eastAsia="ru-RU"/>
                <w14:ligatures w14:val="none"/>
              </w:rPr>
              <w:t>Возраст</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481865A" w14:textId="77777777" w:rsidR="006200A7" w:rsidRPr="003D1FE2" w:rsidRDefault="006200A7" w:rsidP="0011019C">
            <w:pPr>
              <w:spacing w:before="75" w:after="75"/>
              <w:rPr>
                <w:rFonts w:eastAsia="Times New Roman" w:cs="Times New Roman"/>
                <w:kern w:val="0"/>
                <w:sz w:val="20"/>
                <w:szCs w:val="20"/>
                <w:lang w:eastAsia="ru-RU"/>
                <w14:ligatures w14:val="none"/>
              </w:rPr>
            </w:pPr>
            <w:r w:rsidRPr="003D1FE2">
              <w:rPr>
                <w:rFonts w:eastAsia="Times New Roman" w:cs="Times New Roman"/>
                <w:b/>
                <w:bCs/>
                <w:kern w:val="0"/>
                <w:sz w:val="20"/>
                <w:szCs w:val="20"/>
                <w:lang w:eastAsia="ru-RU"/>
                <w14:ligatures w14:val="none"/>
              </w:rPr>
              <w:t>Разовая доза</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80C0BF3" w14:textId="77777777" w:rsidR="006200A7" w:rsidRPr="003D1FE2" w:rsidRDefault="006200A7" w:rsidP="0011019C">
            <w:pPr>
              <w:spacing w:before="75" w:after="75"/>
              <w:rPr>
                <w:rFonts w:eastAsia="Times New Roman" w:cs="Times New Roman"/>
                <w:kern w:val="0"/>
                <w:sz w:val="20"/>
                <w:szCs w:val="20"/>
                <w:lang w:eastAsia="ru-RU"/>
                <w14:ligatures w14:val="none"/>
              </w:rPr>
            </w:pPr>
            <w:r w:rsidRPr="003D1FE2">
              <w:rPr>
                <w:rFonts w:eastAsia="Times New Roman" w:cs="Times New Roman"/>
                <w:b/>
                <w:bCs/>
                <w:kern w:val="0"/>
                <w:sz w:val="20"/>
                <w:szCs w:val="20"/>
                <w:lang w:eastAsia="ru-RU"/>
                <w14:ligatures w14:val="none"/>
              </w:rPr>
              <w:t>Суточная доза</w:t>
            </w:r>
          </w:p>
        </w:tc>
      </w:tr>
      <w:tr w:rsidR="00FE6398" w:rsidRPr="003D1FE2" w14:paraId="6CC9B6F3" w14:textId="77777777" w:rsidTr="0011019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tcPr>
          <w:p w14:paraId="4A801BAF" w14:textId="04223868" w:rsidR="00FE6398" w:rsidRPr="003D1FE2" w:rsidRDefault="00FE6398" w:rsidP="0011019C">
            <w:pPr>
              <w:spacing w:before="75" w:after="75"/>
              <w:rPr>
                <w:rFonts w:eastAsia="Times New Roman" w:cs="Times New Roman"/>
                <w:b/>
                <w:bCs/>
                <w:kern w:val="0"/>
                <w:sz w:val="20"/>
                <w:szCs w:val="20"/>
                <w:lang w:eastAsia="ru-RU"/>
                <w14:ligatures w14:val="none"/>
              </w:rPr>
            </w:pPr>
            <w:r w:rsidRPr="003D1FE2">
              <w:rPr>
                <w:rFonts w:eastAsia="Times New Roman" w:cs="Times New Roman"/>
                <w:kern w:val="0"/>
                <w:sz w:val="20"/>
                <w:szCs w:val="20"/>
                <w:lang w:eastAsia="ru-RU"/>
                <w14:ligatures w14:val="none"/>
              </w:rPr>
              <w:t xml:space="preserve">Дети в возрасте от </w:t>
            </w:r>
            <w:r>
              <w:rPr>
                <w:rFonts w:eastAsia="Times New Roman" w:cs="Times New Roman"/>
                <w:kern w:val="0"/>
                <w:sz w:val="20"/>
                <w:szCs w:val="20"/>
                <w:lang w:eastAsia="ru-RU"/>
                <w14:ligatures w14:val="none"/>
              </w:rPr>
              <w:t>2</w:t>
            </w:r>
            <w:r w:rsidRPr="003D1FE2">
              <w:rPr>
                <w:rFonts w:eastAsia="Times New Roman" w:cs="Times New Roman"/>
                <w:kern w:val="0"/>
                <w:sz w:val="20"/>
                <w:szCs w:val="20"/>
                <w:lang w:eastAsia="ru-RU"/>
                <w14:ligatures w14:val="none"/>
              </w:rPr>
              <w:t xml:space="preserve"> до </w:t>
            </w:r>
            <w:r>
              <w:rPr>
                <w:rFonts w:eastAsia="Times New Roman" w:cs="Times New Roman"/>
                <w:kern w:val="0"/>
                <w:sz w:val="20"/>
                <w:szCs w:val="20"/>
                <w:lang w:eastAsia="ru-RU"/>
                <w14:ligatures w14:val="none"/>
              </w:rPr>
              <w:t>6</w:t>
            </w:r>
            <w:r w:rsidRPr="003D1FE2">
              <w:rPr>
                <w:rFonts w:eastAsia="Times New Roman" w:cs="Times New Roman"/>
                <w:kern w:val="0"/>
                <w:sz w:val="20"/>
                <w:szCs w:val="20"/>
                <w:lang w:eastAsia="ru-RU"/>
                <w14:ligatures w14:val="none"/>
              </w:rPr>
              <w:t xml:space="preserve"> лет</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tcPr>
          <w:p w14:paraId="2FB2F3A6" w14:textId="548D9B8D" w:rsidR="00FE6398" w:rsidRPr="00FE6398" w:rsidRDefault="00FE6398" w:rsidP="0011019C">
            <w:pPr>
              <w:spacing w:before="75" w:after="75"/>
              <w:rPr>
                <w:rFonts w:eastAsia="Times New Roman" w:cs="Times New Roman"/>
                <w:kern w:val="0"/>
                <w:sz w:val="20"/>
                <w:szCs w:val="20"/>
                <w:lang w:eastAsia="ru-RU"/>
                <w14:ligatures w14:val="none"/>
              </w:rPr>
            </w:pPr>
            <w:r w:rsidRPr="00FE6398">
              <w:rPr>
                <w:rFonts w:eastAsia="Times New Roman" w:cs="Times New Roman"/>
                <w:kern w:val="0"/>
                <w:sz w:val="20"/>
                <w:szCs w:val="20"/>
                <w:lang w:eastAsia="ru-RU"/>
                <w14:ligatures w14:val="none"/>
              </w:rPr>
              <w:t>15</w:t>
            </w:r>
            <w:r>
              <w:rPr>
                <w:rFonts w:eastAsia="Times New Roman" w:cs="Times New Roman"/>
                <w:kern w:val="0"/>
                <w:sz w:val="20"/>
                <w:szCs w:val="20"/>
                <w:lang w:eastAsia="ru-RU"/>
                <w14:ligatures w14:val="none"/>
              </w:rPr>
              <w:t xml:space="preserve"> капель</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tcPr>
          <w:p w14:paraId="7F39F06E" w14:textId="2CE15EBB" w:rsidR="00FE6398" w:rsidRPr="003D1FE2" w:rsidRDefault="00FE6398" w:rsidP="0011019C">
            <w:pPr>
              <w:spacing w:before="75" w:after="75"/>
              <w:rPr>
                <w:rFonts w:eastAsia="Times New Roman" w:cs="Times New Roman"/>
                <w:b/>
                <w:bCs/>
                <w:kern w:val="0"/>
                <w:sz w:val="20"/>
                <w:szCs w:val="20"/>
                <w:lang w:eastAsia="ru-RU"/>
                <w14:ligatures w14:val="none"/>
              </w:rPr>
            </w:pPr>
            <w:r>
              <w:rPr>
                <w:rFonts w:eastAsia="Times New Roman" w:cs="Times New Roman"/>
                <w:kern w:val="0"/>
                <w:sz w:val="20"/>
                <w:szCs w:val="20"/>
                <w:lang w:eastAsia="ru-RU"/>
                <w14:ligatures w14:val="none"/>
              </w:rPr>
              <w:t>4</w:t>
            </w:r>
            <w:r w:rsidRPr="00FE6398">
              <w:rPr>
                <w:rFonts w:eastAsia="Times New Roman" w:cs="Times New Roman"/>
                <w:kern w:val="0"/>
                <w:sz w:val="20"/>
                <w:szCs w:val="20"/>
                <w:lang w:eastAsia="ru-RU"/>
                <w14:ligatures w14:val="none"/>
              </w:rPr>
              <w:t>5</w:t>
            </w:r>
            <w:r>
              <w:rPr>
                <w:rFonts w:eastAsia="Times New Roman" w:cs="Times New Roman"/>
                <w:kern w:val="0"/>
                <w:sz w:val="20"/>
                <w:szCs w:val="20"/>
                <w:lang w:eastAsia="ru-RU"/>
                <w14:ligatures w14:val="none"/>
              </w:rPr>
              <w:t xml:space="preserve"> капель</w:t>
            </w:r>
          </w:p>
        </w:tc>
      </w:tr>
      <w:tr w:rsidR="006200A7" w:rsidRPr="003D1FE2" w14:paraId="117AA394" w14:textId="77777777" w:rsidTr="0011019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B0F349F" w14:textId="77777777" w:rsidR="006200A7" w:rsidRPr="003D1FE2" w:rsidRDefault="006200A7" w:rsidP="0011019C">
            <w:pPr>
              <w:spacing w:before="75" w:after="75"/>
              <w:rPr>
                <w:rFonts w:eastAsia="Times New Roman" w:cs="Times New Roman"/>
                <w:kern w:val="0"/>
                <w:sz w:val="20"/>
                <w:szCs w:val="20"/>
                <w:lang w:eastAsia="ru-RU"/>
                <w14:ligatures w14:val="none"/>
              </w:rPr>
            </w:pPr>
            <w:r w:rsidRPr="003D1FE2">
              <w:rPr>
                <w:rFonts w:eastAsia="Times New Roman" w:cs="Times New Roman"/>
                <w:kern w:val="0"/>
                <w:sz w:val="20"/>
                <w:szCs w:val="20"/>
                <w:lang w:eastAsia="ru-RU"/>
                <w14:ligatures w14:val="none"/>
              </w:rPr>
              <w:t>Дети в возрасте от 6 до 11 лет</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1625E59" w14:textId="4A3A1CD4" w:rsidR="006200A7" w:rsidRPr="003D1FE2" w:rsidRDefault="00FE6398" w:rsidP="0011019C">
            <w:pPr>
              <w:spacing w:before="75" w:after="75"/>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2</w:t>
            </w:r>
            <w:r w:rsidRPr="00FE6398">
              <w:rPr>
                <w:rFonts w:eastAsia="Times New Roman" w:cs="Times New Roman"/>
                <w:kern w:val="0"/>
                <w:sz w:val="20"/>
                <w:szCs w:val="20"/>
                <w:lang w:eastAsia="ru-RU"/>
                <w14:ligatures w14:val="none"/>
              </w:rPr>
              <w:t>5</w:t>
            </w:r>
            <w:r>
              <w:rPr>
                <w:rFonts w:eastAsia="Times New Roman" w:cs="Times New Roman"/>
                <w:kern w:val="0"/>
                <w:sz w:val="20"/>
                <w:szCs w:val="20"/>
                <w:lang w:eastAsia="ru-RU"/>
                <w14:ligatures w14:val="none"/>
              </w:rPr>
              <w:t xml:space="preserve"> капель</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5CA6B14" w14:textId="1D8DF59A" w:rsidR="006200A7" w:rsidRPr="003D1FE2" w:rsidRDefault="00FE6398" w:rsidP="0011019C">
            <w:pPr>
              <w:spacing w:before="75" w:after="75"/>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7</w:t>
            </w:r>
            <w:r w:rsidRPr="00FE6398">
              <w:rPr>
                <w:rFonts w:eastAsia="Times New Roman" w:cs="Times New Roman"/>
                <w:kern w:val="0"/>
                <w:sz w:val="20"/>
                <w:szCs w:val="20"/>
                <w:lang w:eastAsia="ru-RU"/>
                <w14:ligatures w14:val="none"/>
              </w:rPr>
              <w:t>5</w:t>
            </w:r>
            <w:r>
              <w:rPr>
                <w:rFonts w:eastAsia="Times New Roman" w:cs="Times New Roman"/>
                <w:kern w:val="0"/>
                <w:sz w:val="20"/>
                <w:szCs w:val="20"/>
                <w:lang w:eastAsia="ru-RU"/>
                <w14:ligatures w14:val="none"/>
              </w:rPr>
              <w:t xml:space="preserve"> капель</w:t>
            </w:r>
          </w:p>
        </w:tc>
      </w:tr>
      <w:tr w:rsidR="006200A7" w:rsidRPr="003D1FE2" w14:paraId="4650F6A3" w14:textId="77777777" w:rsidTr="0011019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8E218EB" w14:textId="77777777" w:rsidR="006200A7" w:rsidRPr="003D1FE2" w:rsidRDefault="006200A7" w:rsidP="0011019C">
            <w:pPr>
              <w:spacing w:before="75" w:after="75"/>
              <w:rPr>
                <w:rFonts w:eastAsia="Times New Roman" w:cs="Times New Roman"/>
                <w:kern w:val="0"/>
                <w:sz w:val="20"/>
                <w:szCs w:val="20"/>
                <w:lang w:eastAsia="ru-RU"/>
                <w14:ligatures w14:val="none"/>
              </w:rPr>
            </w:pPr>
            <w:r w:rsidRPr="003D1FE2">
              <w:rPr>
                <w:rFonts w:eastAsia="Times New Roman" w:cs="Times New Roman"/>
                <w:kern w:val="0"/>
                <w:sz w:val="20"/>
                <w:szCs w:val="20"/>
                <w:lang w:eastAsia="ru-RU"/>
                <w14:ligatures w14:val="none"/>
              </w:rPr>
              <w:t>Дети в возрасте старше 12 лет и взрослые</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4E2B309" w14:textId="18A8731C" w:rsidR="006200A7" w:rsidRPr="003D1FE2" w:rsidRDefault="00FE6398" w:rsidP="0011019C">
            <w:pPr>
              <w:spacing w:before="75" w:after="75"/>
              <w:rPr>
                <w:rFonts w:eastAsia="Times New Roman" w:cs="Times New Roman"/>
                <w:kern w:val="0"/>
                <w:sz w:val="20"/>
                <w:szCs w:val="20"/>
                <w:lang w:eastAsia="ru-RU"/>
                <w14:ligatures w14:val="none"/>
              </w:rPr>
            </w:pPr>
            <w:r w:rsidRPr="00FE6398">
              <w:rPr>
                <w:rFonts w:eastAsia="Times New Roman" w:cs="Times New Roman"/>
                <w:kern w:val="0"/>
                <w:sz w:val="20"/>
                <w:szCs w:val="20"/>
                <w:lang w:eastAsia="ru-RU"/>
                <w14:ligatures w14:val="none"/>
              </w:rPr>
              <w:t>5</w:t>
            </w:r>
            <w:r>
              <w:rPr>
                <w:rFonts w:eastAsia="Times New Roman" w:cs="Times New Roman"/>
                <w:kern w:val="0"/>
                <w:sz w:val="20"/>
                <w:szCs w:val="20"/>
                <w:lang w:eastAsia="ru-RU"/>
                <w14:ligatures w14:val="none"/>
              </w:rPr>
              <w:t>0 капель</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7FB1493" w14:textId="1154B831" w:rsidR="006200A7" w:rsidRPr="003D1FE2" w:rsidRDefault="00FE6398" w:rsidP="0011019C">
            <w:pPr>
              <w:spacing w:before="75" w:after="75"/>
              <w:rPr>
                <w:rFonts w:eastAsia="Times New Roman" w:cs="Times New Roman"/>
                <w:kern w:val="0"/>
                <w:sz w:val="20"/>
                <w:szCs w:val="20"/>
                <w:lang w:eastAsia="ru-RU"/>
                <w14:ligatures w14:val="none"/>
              </w:rPr>
            </w:pPr>
            <w:r w:rsidRPr="00FE6398">
              <w:rPr>
                <w:rFonts w:eastAsia="Times New Roman" w:cs="Times New Roman"/>
                <w:kern w:val="0"/>
                <w:sz w:val="20"/>
                <w:szCs w:val="20"/>
                <w:lang w:eastAsia="ru-RU"/>
                <w14:ligatures w14:val="none"/>
              </w:rPr>
              <w:t>15</w:t>
            </w:r>
            <w:r>
              <w:rPr>
                <w:rFonts w:eastAsia="Times New Roman" w:cs="Times New Roman"/>
                <w:kern w:val="0"/>
                <w:sz w:val="20"/>
                <w:szCs w:val="20"/>
                <w:lang w:eastAsia="ru-RU"/>
                <w14:ligatures w14:val="none"/>
              </w:rPr>
              <w:t>0 капель</w:t>
            </w:r>
          </w:p>
        </w:tc>
      </w:tr>
    </w:tbl>
    <w:p w14:paraId="2B129DA3" w14:textId="77777777" w:rsidR="006200A7" w:rsidRPr="003D1FE2"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color w:val="333333"/>
          <w:kern w:val="0"/>
          <w:sz w:val="20"/>
          <w:szCs w:val="20"/>
          <w:lang w:eastAsia="ru-RU"/>
          <w14:ligatures w14:val="none"/>
        </w:rPr>
        <w:t>Длительность курса лечения составляет 7-14 дней. Увеличение продолжительности и проведение повторных курсов лечения возможно по рекомендации врача.</w:t>
      </w:r>
    </w:p>
    <w:p w14:paraId="04364891" w14:textId="77777777" w:rsidR="006200A7"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color w:val="333333"/>
          <w:kern w:val="0"/>
          <w:sz w:val="20"/>
          <w:szCs w:val="20"/>
          <w:lang w:eastAsia="ru-RU"/>
          <w14:ligatures w14:val="none"/>
        </w:rPr>
        <w:t>Необходимо проинформировать пациента о том, что, если через 7-14 дней лечения улучшения не наступает или симптомы усугубляются, или появляются новые симптомы, необходимо проконсультироваться с врачом.</w:t>
      </w:r>
    </w:p>
    <w:p w14:paraId="0B62C17A" w14:textId="77777777" w:rsidR="00FE6398" w:rsidRDefault="00FE6398" w:rsidP="006200A7">
      <w:pPr>
        <w:spacing w:before="75" w:after="75"/>
        <w:rPr>
          <w:rFonts w:ascii="Arial" w:eastAsia="Times New Roman" w:hAnsi="Arial" w:cs="Arial"/>
          <w:color w:val="333333"/>
          <w:kern w:val="0"/>
          <w:sz w:val="20"/>
          <w:szCs w:val="20"/>
          <w:lang w:eastAsia="ru-RU"/>
          <w14:ligatures w14:val="none"/>
        </w:rPr>
      </w:pPr>
    </w:p>
    <w:p w14:paraId="56003752" w14:textId="77777777" w:rsidR="006200A7" w:rsidRPr="00546916"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Побочное действие</w:t>
      </w:r>
    </w:p>
    <w:p w14:paraId="61572A2A" w14:textId="77777777" w:rsidR="006200A7" w:rsidRPr="003D1FE2"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i/>
          <w:iCs/>
          <w:color w:val="333333"/>
          <w:kern w:val="0"/>
          <w:sz w:val="20"/>
          <w:szCs w:val="20"/>
          <w:lang w:eastAsia="ru-RU"/>
          <w14:ligatures w14:val="none"/>
        </w:rPr>
        <w:t>Со стороны иммунной системы:</w:t>
      </w:r>
      <w:r w:rsidRPr="003D1FE2">
        <w:rPr>
          <w:rFonts w:ascii="Arial" w:eastAsia="Times New Roman" w:hAnsi="Arial" w:cs="Arial"/>
          <w:color w:val="333333"/>
          <w:kern w:val="0"/>
          <w:sz w:val="20"/>
          <w:szCs w:val="20"/>
          <w:lang w:eastAsia="ru-RU"/>
          <w14:ligatures w14:val="none"/>
        </w:rPr>
        <w:t> нечасто - местные аллергические реакции (кожная сыпь, покраснение кожи, зуд); неизвестно - системные аллергические реакции (ангионевротический отек, отек лица).</w:t>
      </w:r>
    </w:p>
    <w:p w14:paraId="67F9843E" w14:textId="77777777" w:rsidR="006200A7" w:rsidRPr="003D1FE2"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i/>
          <w:iCs/>
          <w:color w:val="333333"/>
          <w:kern w:val="0"/>
          <w:sz w:val="20"/>
          <w:szCs w:val="20"/>
          <w:lang w:eastAsia="ru-RU"/>
          <w14:ligatures w14:val="none"/>
        </w:rPr>
        <w:t>Со стороны дыхательной системы, органов грудной клетки и средостения:</w:t>
      </w:r>
      <w:r w:rsidRPr="003D1FE2">
        <w:rPr>
          <w:rFonts w:ascii="Arial" w:eastAsia="Times New Roman" w:hAnsi="Arial" w:cs="Arial"/>
          <w:color w:val="333333"/>
          <w:kern w:val="0"/>
          <w:sz w:val="20"/>
          <w:szCs w:val="20"/>
          <w:lang w:eastAsia="ru-RU"/>
          <w14:ligatures w14:val="none"/>
        </w:rPr>
        <w:t> неизвестно - одышка.</w:t>
      </w:r>
    </w:p>
    <w:p w14:paraId="6A532972" w14:textId="77777777" w:rsidR="006200A7" w:rsidRPr="003D1FE2"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i/>
          <w:iCs/>
          <w:color w:val="333333"/>
          <w:kern w:val="0"/>
          <w:sz w:val="20"/>
          <w:szCs w:val="20"/>
          <w:lang w:eastAsia="ru-RU"/>
          <w14:ligatures w14:val="none"/>
        </w:rPr>
        <w:t>Со стороны ЖКТ:</w:t>
      </w:r>
      <w:r w:rsidRPr="003D1FE2">
        <w:rPr>
          <w:rFonts w:ascii="Arial" w:eastAsia="Times New Roman" w:hAnsi="Arial" w:cs="Arial"/>
          <w:color w:val="333333"/>
          <w:kern w:val="0"/>
          <w:sz w:val="20"/>
          <w:szCs w:val="20"/>
          <w:lang w:eastAsia="ru-RU"/>
          <w14:ligatures w14:val="none"/>
        </w:rPr>
        <w:t> нечасто - тошнота, боль в эпигастральной области.</w:t>
      </w:r>
    </w:p>
    <w:p w14:paraId="1369DBF9" w14:textId="77777777" w:rsidR="006200A7" w:rsidRPr="003D1FE2"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b/>
          <w:bCs/>
          <w:color w:val="333333"/>
          <w:kern w:val="0"/>
          <w:sz w:val="20"/>
          <w:szCs w:val="20"/>
          <w:lang w:eastAsia="ru-RU"/>
          <w14:ligatures w14:val="none"/>
        </w:rPr>
        <w:t>Сообщение о подозреваемых нежелательных реакциях</w:t>
      </w:r>
    </w:p>
    <w:p w14:paraId="5F28A5F7" w14:textId="77777777" w:rsidR="006200A7"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color w:val="333333"/>
          <w:kern w:val="0"/>
          <w:sz w:val="20"/>
          <w:szCs w:val="20"/>
          <w:lang w:eastAsia="ru-RU"/>
          <w14:ligatures w14:val="none"/>
        </w:rPr>
        <w:t>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"польза-риск" лекарственного препарата</w:t>
      </w:r>
      <w:r>
        <w:rPr>
          <w:rFonts w:ascii="Arial" w:eastAsia="Times New Roman" w:hAnsi="Arial" w:cs="Arial"/>
          <w:color w:val="333333"/>
          <w:kern w:val="0"/>
          <w:sz w:val="20"/>
          <w:szCs w:val="20"/>
          <w:lang w:eastAsia="ru-RU"/>
          <w14:ligatures w14:val="none"/>
        </w:rPr>
        <w:t>.</w:t>
      </w:r>
    </w:p>
    <w:p w14:paraId="3573CBA6" w14:textId="77777777" w:rsidR="006200A7" w:rsidRPr="003D1FE2" w:rsidRDefault="006200A7" w:rsidP="006200A7">
      <w:pPr>
        <w:spacing w:before="75" w:after="75"/>
        <w:rPr>
          <w:rFonts w:ascii="Arial" w:eastAsia="Times New Roman" w:hAnsi="Arial" w:cs="Arial"/>
          <w:color w:val="333333"/>
          <w:kern w:val="0"/>
          <w:sz w:val="20"/>
          <w:szCs w:val="20"/>
          <w:lang w:eastAsia="ru-RU"/>
          <w14:ligatures w14:val="none"/>
        </w:rPr>
      </w:pPr>
    </w:p>
    <w:p w14:paraId="36586DC1" w14:textId="77777777" w:rsidR="006200A7" w:rsidRPr="00546916"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Противопоказания к применению</w:t>
      </w:r>
    </w:p>
    <w:p w14:paraId="5DA4B7D6" w14:textId="77777777" w:rsidR="000B65A2" w:rsidRDefault="006200A7" w:rsidP="000B65A2">
      <w:pPr>
        <w:numPr>
          <w:ilvl w:val="0"/>
          <w:numId w:val="2"/>
        </w:numPr>
        <w:spacing w:before="100" w:beforeAutospacing="1" w:after="100" w:afterAutospacing="1"/>
        <w:rPr>
          <w:rFonts w:ascii="Arial" w:eastAsia="Times New Roman" w:hAnsi="Arial" w:cs="Arial"/>
          <w:color w:val="333333"/>
          <w:kern w:val="0"/>
          <w:sz w:val="20"/>
          <w:szCs w:val="20"/>
          <w:lang w:eastAsia="ru-RU"/>
          <w14:ligatures w14:val="none"/>
        </w:rPr>
      </w:pPr>
      <w:r w:rsidRPr="003D1FE2">
        <w:rPr>
          <w:rFonts w:ascii="Arial" w:eastAsia="Times New Roman" w:hAnsi="Arial" w:cs="Arial"/>
          <w:color w:val="333333"/>
          <w:kern w:val="0"/>
          <w:sz w:val="20"/>
          <w:szCs w:val="20"/>
          <w:lang w:eastAsia="ru-RU"/>
          <w14:ligatures w14:val="none"/>
        </w:rPr>
        <w:t>повышенная чувствительность к активным компонентам препарата и/или к любому из вспомогательных веществ, входящих в состав препарата.</w:t>
      </w:r>
    </w:p>
    <w:p w14:paraId="0DF03CE0" w14:textId="7992C9BE" w:rsidR="000B65A2" w:rsidRPr="000B65A2" w:rsidRDefault="000B65A2" w:rsidP="000B65A2">
      <w:pPr>
        <w:numPr>
          <w:ilvl w:val="0"/>
          <w:numId w:val="2"/>
        </w:numPr>
        <w:spacing w:before="100" w:beforeAutospacing="1" w:after="100" w:afterAutospacing="1"/>
        <w:rPr>
          <w:rFonts w:ascii="Arial" w:eastAsia="Times New Roman" w:hAnsi="Arial" w:cs="Arial"/>
          <w:color w:val="333333"/>
          <w:kern w:val="0"/>
          <w:sz w:val="20"/>
          <w:szCs w:val="20"/>
          <w:lang w:eastAsia="ru-RU"/>
          <w14:ligatures w14:val="none"/>
        </w:rPr>
      </w:pPr>
      <w:r w:rsidRPr="000B65A2">
        <w:rPr>
          <w:rFonts w:ascii="Nunito Sans" w:eastAsia="Times New Roman" w:hAnsi="Nunito Sans" w:cs="Times New Roman"/>
          <w:color w:val="000000"/>
          <w:kern w:val="0"/>
          <w:sz w:val="24"/>
          <w:szCs w:val="24"/>
          <w:lang w:eastAsia="ru-RU"/>
          <w14:ligatures w14:val="none"/>
        </w:rPr>
        <w:t xml:space="preserve"> А</w:t>
      </w:r>
      <w:r w:rsidRPr="000B65A2">
        <w:rPr>
          <w:rFonts w:ascii="Arial" w:eastAsia="Times New Roman" w:hAnsi="Arial" w:cs="Arial"/>
          <w:color w:val="333333"/>
          <w:kern w:val="0"/>
          <w:sz w:val="20"/>
          <w:szCs w:val="20"/>
          <w:lang w:eastAsia="ru-RU"/>
          <w14:ligatures w14:val="none"/>
        </w:rPr>
        <w:t>лкоголизм, детский возраст</w:t>
      </w:r>
      <w:r>
        <w:rPr>
          <w:rFonts w:ascii="Arial" w:eastAsia="Times New Roman" w:hAnsi="Arial" w:cs="Arial"/>
          <w:color w:val="333333"/>
          <w:kern w:val="0"/>
          <w:sz w:val="20"/>
          <w:szCs w:val="20"/>
          <w:lang w:eastAsia="ru-RU"/>
          <w14:ligatures w14:val="none"/>
        </w:rPr>
        <w:t xml:space="preserve"> </w:t>
      </w:r>
      <w:r w:rsidRPr="000B65A2">
        <w:rPr>
          <w:rFonts w:ascii="Arial" w:eastAsia="Times New Roman" w:hAnsi="Arial" w:cs="Arial"/>
          <w:color w:val="333333"/>
          <w:kern w:val="0"/>
          <w:sz w:val="20"/>
          <w:szCs w:val="20"/>
          <w:lang w:eastAsia="ru-RU"/>
          <w14:ligatures w14:val="none"/>
        </w:rPr>
        <w:t>(до 2 лет). Не следует принимать препарат пациентам после успешного антиалкогольного лечения.</w:t>
      </w:r>
    </w:p>
    <w:p w14:paraId="797765C5" w14:textId="545C2023" w:rsidR="006200A7" w:rsidRPr="003D1FE2" w:rsidRDefault="006200A7" w:rsidP="000B65A2">
      <w:pPr>
        <w:spacing w:before="100" w:beforeAutospacing="1" w:after="100" w:afterAutospacing="1"/>
        <w:ind w:left="720"/>
        <w:rPr>
          <w:rFonts w:ascii="Arial" w:eastAsia="Times New Roman" w:hAnsi="Arial" w:cs="Arial"/>
          <w:color w:val="333333"/>
          <w:kern w:val="0"/>
          <w:sz w:val="20"/>
          <w:szCs w:val="20"/>
          <w:lang w:eastAsia="ru-RU"/>
          <w14:ligatures w14:val="none"/>
        </w:rPr>
      </w:pPr>
    </w:p>
    <w:p w14:paraId="74881C8A" w14:textId="77777777" w:rsidR="006200A7" w:rsidRPr="00546916"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Применение при беременности и кормлении грудью</w:t>
      </w:r>
    </w:p>
    <w:p w14:paraId="49738B33" w14:textId="1ACD3076" w:rsidR="008F1280" w:rsidRPr="008F1280" w:rsidRDefault="008F1280" w:rsidP="008F1280">
      <w:pPr>
        <w:spacing w:before="75" w:after="75"/>
        <w:rPr>
          <w:rFonts w:ascii="Arial" w:eastAsia="Times New Roman" w:hAnsi="Arial" w:cs="Arial"/>
          <w:color w:val="333333"/>
          <w:kern w:val="0"/>
          <w:sz w:val="20"/>
          <w:szCs w:val="20"/>
          <w:lang w:eastAsia="ru-RU"/>
          <w14:ligatures w14:val="none"/>
        </w:rPr>
      </w:pPr>
      <w:r w:rsidRPr="008F1280">
        <w:rPr>
          <w:rFonts w:ascii="Arial" w:eastAsia="Times New Roman" w:hAnsi="Arial" w:cs="Arial"/>
          <w:color w:val="333333"/>
          <w:kern w:val="0"/>
          <w:sz w:val="20"/>
          <w:szCs w:val="20"/>
          <w:lang w:eastAsia="ru-RU"/>
          <w14:ligatures w14:val="none"/>
        </w:rPr>
        <w:t xml:space="preserve">Применение </w:t>
      </w:r>
      <w:r w:rsidR="006718CD">
        <w:rPr>
          <w:rFonts w:ascii="Arial" w:eastAsia="Times New Roman" w:hAnsi="Arial" w:cs="Arial"/>
          <w:color w:val="333333"/>
          <w:kern w:val="0"/>
          <w:sz w:val="20"/>
          <w:szCs w:val="20"/>
          <w:lang w:eastAsia="ru-RU"/>
          <w14:ligatures w14:val="none"/>
        </w:rPr>
        <w:t xml:space="preserve"> препарата  </w:t>
      </w:r>
      <w:r>
        <w:rPr>
          <w:rFonts w:ascii="Arial" w:eastAsia="Times New Roman" w:hAnsi="Arial" w:cs="Arial"/>
          <w:color w:val="333333"/>
          <w:kern w:val="0"/>
          <w:sz w:val="20"/>
          <w:szCs w:val="20"/>
          <w:lang w:eastAsia="ru-RU"/>
          <w14:ligatures w14:val="none"/>
        </w:rPr>
        <w:t>Проецин</w:t>
      </w:r>
      <w:r w:rsidRPr="008F1280">
        <w:rPr>
          <w:rFonts w:ascii="Arial" w:eastAsia="Times New Roman" w:hAnsi="Arial" w:cs="Arial"/>
          <w:color w:val="333333"/>
          <w:kern w:val="0"/>
          <w:sz w:val="20"/>
          <w:szCs w:val="20"/>
          <w:vertAlign w:val="superscript"/>
          <w:lang w:eastAsia="ru-RU"/>
          <w14:ligatures w14:val="none"/>
        </w:rPr>
        <w:t>®</w:t>
      </w:r>
      <w:r w:rsidRPr="008F1280">
        <w:rPr>
          <w:rFonts w:ascii="Arial" w:eastAsia="Times New Roman" w:hAnsi="Arial" w:cs="Arial"/>
          <w:color w:val="333333"/>
          <w:kern w:val="0"/>
          <w:sz w:val="20"/>
          <w:szCs w:val="20"/>
          <w:lang w:eastAsia="ru-RU"/>
          <w14:ligatures w14:val="none"/>
        </w:rPr>
        <w:t xml:space="preserve"> в период беременности возможно только по назначению врача; принимать капли </w:t>
      </w:r>
      <w:r>
        <w:rPr>
          <w:rFonts w:ascii="Arial" w:eastAsia="Times New Roman" w:hAnsi="Arial" w:cs="Arial"/>
          <w:color w:val="333333"/>
          <w:kern w:val="0"/>
          <w:sz w:val="20"/>
          <w:szCs w:val="20"/>
          <w:lang w:eastAsia="ru-RU"/>
          <w14:ligatures w14:val="none"/>
        </w:rPr>
        <w:t>Проецин</w:t>
      </w:r>
      <w:r w:rsidRPr="008F1280">
        <w:rPr>
          <w:rFonts w:ascii="Arial" w:eastAsia="Times New Roman" w:hAnsi="Arial" w:cs="Arial"/>
          <w:color w:val="333333"/>
          <w:kern w:val="0"/>
          <w:sz w:val="20"/>
          <w:szCs w:val="20"/>
          <w:vertAlign w:val="superscript"/>
          <w:lang w:eastAsia="ru-RU"/>
          <w14:ligatures w14:val="none"/>
        </w:rPr>
        <w:t>®</w:t>
      </w:r>
      <w:r w:rsidRPr="008F1280">
        <w:rPr>
          <w:rFonts w:ascii="Arial" w:eastAsia="Times New Roman" w:hAnsi="Arial" w:cs="Arial"/>
          <w:color w:val="333333"/>
          <w:kern w:val="0"/>
          <w:sz w:val="20"/>
          <w:szCs w:val="20"/>
          <w:lang w:eastAsia="ru-RU"/>
          <w14:ligatures w14:val="none"/>
        </w:rPr>
        <w:t xml:space="preserve">, вследствие содержания алкоголя, следует только в том случае, если невозможен прием </w:t>
      </w:r>
      <w:r>
        <w:rPr>
          <w:rFonts w:ascii="Arial" w:eastAsia="Times New Roman" w:hAnsi="Arial" w:cs="Arial"/>
          <w:color w:val="333333"/>
          <w:kern w:val="0"/>
          <w:sz w:val="20"/>
          <w:szCs w:val="20"/>
          <w:lang w:eastAsia="ru-RU"/>
          <w14:ligatures w14:val="none"/>
        </w:rPr>
        <w:t>таблетки Проецин</w:t>
      </w:r>
      <w:r w:rsidRPr="008F1280">
        <w:rPr>
          <w:rFonts w:ascii="Arial" w:eastAsia="Times New Roman" w:hAnsi="Arial" w:cs="Arial"/>
          <w:color w:val="333333"/>
          <w:kern w:val="0"/>
          <w:sz w:val="20"/>
          <w:szCs w:val="20"/>
          <w:vertAlign w:val="superscript"/>
          <w:lang w:eastAsia="ru-RU"/>
          <w14:ligatures w14:val="none"/>
        </w:rPr>
        <w:t>®</w:t>
      </w:r>
      <w:r w:rsidRPr="008F1280">
        <w:rPr>
          <w:rFonts w:ascii="Arial" w:eastAsia="Times New Roman" w:hAnsi="Arial" w:cs="Arial"/>
          <w:color w:val="333333"/>
          <w:kern w:val="0"/>
          <w:sz w:val="20"/>
          <w:szCs w:val="20"/>
          <w:lang w:eastAsia="ru-RU"/>
          <w14:ligatures w14:val="none"/>
        </w:rPr>
        <w:t>.</w:t>
      </w:r>
    </w:p>
    <w:p w14:paraId="70B01112" w14:textId="77777777" w:rsidR="008F1280" w:rsidRPr="008F1280" w:rsidRDefault="008F1280" w:rsidP="008F1280">
      <w:pPr>
        <w:spacing w:before="75" w:after="75"/>
        <w:rPr>
          <w:rFonts w:ascii="Arial" w:eastAsia="Times New Roman" w:hAnsi="Arial" w:cs="Arial"/>
          <w:color w:val="333333"/>
          <w:kern w:val="0"/>
          <w:sz w:val="20"/>
          <w:szCs w:val="20"/>
          <w:lang w:eastAsia="ru-RU"/>
          <w14:ligatures w14:val="none"/>
        </w:rPr>
      </w:pPr>
      <w:r w:rsidRPr="008F1280">
        <w:rPr>
          <w:rFonts w:ascii="Arial" w:eastAsia="Times New Roman" w:hAnsi="Arial" w:cs="Arial"/>
          <w:color w:val="333333"/>
          <w:kern w:val="0"/>
          <w:sz w:val="20"/>
          <w:szCs w:val="20"/>
          <w:lang w:eastAsia="ru-RU"/>
          <w14:ligatures w14:val="none"/>
        </w:rPr>
        <w:t>Препарат не рекомендуется принимать в период кормления грудью (в связи с отсутствием опыта его клинического применения).</w:t>
      </w:r>
    </w:p>
    <w:p w14:paraId="05900E8B" w14:textId="77777777" w:rsidR="006200A7" w:rsidRPr="003D1FE2" w:rsidRDefault="006200A7" w:rsidP="006200A7">
      <w:pPr>
        <w:spacing w:before="75" w:after="75"/>
        <w:rPr>
          <w:rFonts w:ascii="Arial" w:eastAsia="Times New Roman" w:hAnsi="Arial" w:cs="Arial"/>
          <w:color w:val="333333"/>
          <w:kern w:val="0"/>
          <w:sz w:val="20"/>
          <w:szCs w:val="20"/>
          <w:lang w:eastAsia="ru-RU"/>
          <w14:ligatures w14:val="none"/>
        </w:rPr>
      </w:pPr>
    </w:p>
    <w:p w14:paraId="028AAE29" w14:textId="77777777" w:rsidR="006200A7" w:rsidRPr="00546916"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Применение у детей</w:t>
      </w:r>
    </w:p>
    <w:p w14:paraId="1D480F32" w14:textId="560911B2" w:rsidR="006200A7"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color w:val="333333"/>
          <w:kern w:val="0"/>
          <w:sz w:val="20"/>
          <w:szCs w:val="20"/>
          <w:lang w:eastAsia="ru-RU"/>
          <w14:ligatures w14:val="none"/>
        </w:rPr>
        <w:t xml:space="preserve">Противопоказан детям в возрасте до </w:t>
      </w:r>
      <w:r w:rsidR="008A7687">
        <w:rPr>
          <w:rFonts w:ascii="Arial" w:eastAsia="Times New Roman" w:hAnsi="Arial" w:cs="Arial"/>
          <w:color w:val="333333"/>
          <w:kern w:val="0"/>
          <w:sz w:val="20"/>
          <w:szCs w:val="20"/>
          <w:lang w:eastAsia="ru-RU"/>
          <w14:ligatures w14:val="none"/>
        </w:rPr>
        <w:t>2</w:t>
      </w:r>
      <w:r w:rsidRPr="003D1FE2">
        <w:rPr>
          <w:rFonts w:ascii="Arial" w:eastAsia="Times New Roman" w:hAnsi="Arial" w:cs="Arial"/>
          <w:color w:val="333333"/>
          <w:kern w:val="0"/>
          <w:sz w:val="20"/>
          <w:szCs w:val="20"/>
          <w:lang w:eastAsia="ru-RU"/>
          <w14:ligatures w14:val="none"/>
        </w:rPr>
        <w:t xml:space="preserve"> </w:t>
      </w:r>
      <w:r w:rsidR="008A7687">
        <w:rPr>
          <w:rFonts w:ascii="Arial" w:eastAsia="Times New Roman" w:hAnsi="Arial" w:cs="Arial"/>
          <w:color w:val="333333"/>
          <w:kern w:val="0"/>
          <w:sz w:val="20"/>
          <w:szCs w:val="20"/>
          <w:lang w:eastAsia="ru-RU"/>
          <w14:ligatures w14:val="none"/>
        </w:rPr>
        <w:t>года</w:t>
      </w:r>
      <w:r w:rsidRPr="003D1FE2">
        <w:rPr>
          <w:rFonts w:ascii="Arial" w:eastAsia="Times New Roman" w:hAnsi="Arial" w:cs="Arial"/>
          <w:color w:val="333333"/>
          <w:kern w:val="0"/>
          <w:sz w:val="20"/>
          <w:szCs w:val="20"/>
          <w:lang w:eastAsia="ru-RU"/>
          <w14:ligatures w14:val="none"/>
        </w:rPr>
        <w:t xml:space="preserve"> (из-за недостаточности клинических данных).</w:t>
      </w:r>
    </w:p>
    <w:p w14:paraId="6C810F13" w14:textId="77777777" w:rsidR="00523575" w:rsidRDefault="00523575" w:rsidP="006200A7">
      <w:pPr>
        <w:spacing w:before="75" w:after="75"/>
        <w:rPr>
          <w:rFonts w:ascii="Arial" w:eastAsia="Times New Roman" w:hAnsi="Arial" w:cs="Arial"/>
          <w:color w:val="333333"/>
          <w:kern w:val="0"/>
          <w:sz w:val="20"/>
          <w:szCs w:val="20"/>
          <w:lang w:eastAsia="ru-RU"/>
          <w14:ligatures w14:val="none"/>
        </w:rPr>
      </w:pPr>
    </w:p>
    <w:p w14:paraId="185FA5EA" w14:textId="77777777" w:rsidR="00523575" w:rsidRPr="00523575" w:rsidRDefault="00523575" w:rsidP="00523575">
      <w:pPr>
        <w:spacing w:before="75" w:after="75"/>
        <w:rPr>
          <w:rFonts w:ascii="Arial" w:eastAsia="Times New Roman" w:hAnsi="Arial" w:cs="Arial"/>
          <w:color w:val="333333"/>
          <w:kern w:val="0"/>
          <w:sz w:val="20"/>
          <w:szCs w:val="20"/>
          <w:lang w:eastAsia="ru-RU"/>
          <w14:ligatures w14:val="none"/>
        </w:rPr>
      </w:pPr>
      <w:r w:rsidRPr="00523575">
        <w:rPr>
          <w:rFonts w:ascii="Arial" w:eastAsia="Times New Roman" w:hAnsi="Arial" w:cs="Arial"/>
          <w:b/>
          <w:bCs/>
          <w:i/>
          <w:iCs/>
          <w:color w:val="333333"/>
          <w:kern w:val="0"/>
          <w:sz w:val="20"/>
          <w:szCs w:val="20"/>
          <w:lang w:eastAsia="ru-RU"/>
          <w14:ligatures w14:val="none"/>
        </w:rPr>
        <w:t>Специальные предупреждения</w:t>
      </w:r>
    </w:p>
    <w:p w14:paraId="286CB1E4" w14:textId="77777777" w:rsidR="00523575" w:rsidRPr="00523575" w:rsidRDefault="00523575" w:rsidP="00523575">
      <w:pPr>
        <w:spacing w:before="75" w:after="75"/>
        <w:rPr>
          <w:rFonts w:ascii="Arial" w:eastAsia="Times New Roman" w:hAnsi="Arial" w:cs="Arial"/>
          <w:color w:val="333333"/>
          <w:kern w:val="0"/>
          <w:sz w:val="20"/>
          <w:szCs w:val="20"/>
          <w:lang w:eastAsia="ru-RU"/>
          <w14:ligatures w14:val="none"/>
        </w:rPr>
      </w:pPr>
      <w:r w:rsidRPr="00523575">
        <w:rPr>
          <w:rFonts w:ascii="Arial" w:eastAsia="Times New Roman" w:hAnsi="Arial" w:cs="Arial"/>
          <w:color w:val="333333"/>
          <w:kern w:val="0"/>
          <w:sz w:val="20"/>
          <w:szCs w:val="20"/>
          <w:lang w:eastAsia="ru-RU"/>
          <w14:ligatures w14:val="none"/>
        </w:rPr>
        <w:t xml:space="preserve">Проконсультируйтесь с врачом, если у вас кровотечение из носа, лихорадка, сильная боль, гнойные выделения из носа, нарушение зрения, асимметрия средней части лица или глаз, или онемение лица, т.к. эти симптомы обычно рассматриваются как серьезные предупреждения для </w:t>
      </w:r>
      <w:r w:rsidRPr="00523575">
        <w:rPr>
          <w:rFonts w:ascii="Arial" w:eastAsia="Times New Roman" w:hAnsi="Arial" w:cs="Arial"/>
          <w:color w:val="333333"/>
          <w:kern w:val="0"/>
          <w:sz w:val="20"/>
          <w:szCs w:val="20"/>
          <w:lang w:eastAsia="ru-RU"/>
          <w14:ligatures w14:val="none"/>
        </w:rPr>
        <w:lastRenderedPageBreak/>
        <w:t>всех форм риносинусита и требуют осмотра врача-специалиста и срочное лечение. Если симптомы сохраняются более 7-14 дней, ухудшаются или повторяются периодически необходимо проконсультироваться с врачом.</w:t>
      </w:r>
    </w:p>
    <w:p w14:paraId="6CF12DED" w14:textId="2AAD7652" w:rsidR="00523575" w:rsidRPr="00523575" w:rsidRDefault="00523575" w:rsidP="00523575">
      <w:pPr>
        <w:spacing w:before="75" w:after="75"/>
        <w:rPr>
          <w:rFonts w:ascii="Arial" w:eastAsia="Times New Roman" w:hAnsi="Arial" w:cs="Arial"/>
          <w:color w:val="333333"/>
          <w:kern w:val="0"/>
          <w:sz w:val="20"/>
          <w:szCs w:val="20"/>
          <w:lang w:eastAsia="ru-RU"/>
          <w14:ligatures w14:val="none"/>
        </w:rPr>
      </w:pPr>
      <w:r w:rsidRPr="00523575">
        <w:rPr>
          <w:rFonts w:ascii="Arial" w:eastAsia="Times New Roman" w:hAnsi="Arial" w:cs="Arial"/>
          <w:color w:val="333333"/>
          <w:kern w:val="0"/>
          <w:sz w:val="20"/>
          <w:szCs w:val="20"/>
          <w:lang w:eastAsia="ru-RU"/>
          <w14:ligatures w14:val="none"/>
        </w:rPr>
        <w:t>В случае известного гастрита и пациентов с чувствительным желудком при приеме данного лекарственного средства следует соблюдать особую осторожность.</w:t>
      </w:r>
      <w:r w:rsidR="00CA7F31">
        <w:rPr>
          <w:rFonts w:ascii="Arial" w:eastAsia="Times New Roman" w:hAnsi="Arial" w:cs="Arial"/>
          <w:color w:val="333333"/>
          <w:kern w:val="0"/>
          <w:sz w:val="20"/>
          <w:szCs w:val="20"/>
          <w:lang w:eastAsia="ru-RU"/>
          <w14:ligatures w14:val="none"/>
        </w:rPr>
        <w:t xml:space="preserve"> </w:t>
      </w:r>
      <w:r>
        <w:rPr>
          <w:rFonts w:ascii="Arial" w:eastAsia="Times New Roman" w:hAnsi="Arial" w:cs="Arial"/>
          <w:color w:val="333333"/>
          <w:kern w:val="0"/>
          <w:sz w:val="20"/>
          <w:szCs w:val="20"/>
          <w:lang w:eastAsia="ru-RU"/>
          <w14:ligatures w14:val="none"/>
        </w:rPr>
        <w:t>Проецин</w:t>
      </w:r>
      <w:r w:rsidRPr="000D4911">
        <w:rPr>
          <w:rFonts w:ascii="Arial" w:eastAsia="Times New Roman" w:hAnsi="Arial" w:cs="Arial"/>
          <w:color w:val="333333"/>
          <w:kern w:val="0"/>
          <w:sz w:val="20"/>
          <w:szCs w:val="20"/>
          <w:vertAlign w:val="superscript"/>
          <w:lang w:eastAsia="ru-RU"/>
          <w14:ligatures w14:val="none"/>
        </w:rPr>
        <w:t>®</w:t>
      </w:r>
      <w:r w:rsidRPr="000D4911">
        <w:rPr>
          <w:rFonts w:ascii="Arial" w:eastAsia="Times New Roman" w:hAnsi="Arial" w:cs="Arial"/>
          <w:color w:val="333333"/>
          <w:kern w:val="0"/>
          <w:sz w:val="20"/>
          <w:szCs w:val="20"/>
          <w:lang w:eastAsia="ru-RU"/>
          <w14:ligatures w14:val="none"/>
        </w:rPr>
        <w:t> </w:t>
      </w:r>
      <w:r w:rsidRPr="00523575">
        <w:rPr>
          <w:rFonts w:ascii="Arial" w:eastAsia="Times New Roman" w:hAnsi="Arial" w:cs="Arial"/>
          <w:color w:val="333333"/>
          <w:kern w:val="0"/>
          <w:sz w:val="20"/>
          <w:szCs w:val="20"/>
          <w:lang w:eastAsia="ru-RU"/>
          <w14:ligatures w14:val="none"/>
        </w:rPr>
        <w:t>сироп следует принимать предпочтительно после еды и со стаканом воды.</w:t>
      </w:r>
    </w:p>
    <w:p w14:paraId="7B7BBC7A" w14:textId="77777777" w:rsidR="00523575" w:rsidRPr="00523575" w:rsidRDefault="00523575" w:rsidP="00523575">
      <w:pPr>
        <w:spacing w:before="75" w:after="75"/>
        <w:rPr>
          <w:rFonts w:ascii="Arial" w:eastAsia="Times New Roman" w:hAnsi="Arial" w:cs="Arial"/>
          <w:color w:val="333333"/>
          <w:kern w:val="0"/>
          <w:sz w:val="20"/>
          <w:szCs w:val="20"/>
          <w:lang w:eastAsia="ru-RU"/>
          <w14:ligatures w14:val="none"/>
        </w:rPr>
      </w:pPr>
      <w:r w:rsidRPr="00523575">
        <w:rPr>
          <w:rFonts w:ascii="Arial" w:eastAsia="Times New Roman" w:hAnsi="Arial" w:cs="Arial"/>
          <w:color w:val="333333"/>
          <w:kern w:val="0"/>
          <w:sz w:val="20"/>
          <w:szCs w:val="20"/>
          <w:lang w:eastAsia="ru-RU"/>
          <w14:ligatures w14:val="none"/>
        </w:rPr>
        <w:t>1 мл сиропа содержит 0,0629 мл спирта.</w:t>
      </w:r>
    </w:p>
    <w:p w14:paraId="54FA9D5D" w14:textId="77777777" w:rsidR="00523575" w:rsidRPr="00523575" w:rsidRDefault="00523575" w:rsidP="00523575">
      <w:pPr>
        <w:spacing w:before="75" w:after="75"/>
        <w:rPr>
          <w:rFonts w:ascii="Arial" w:eastAsia="Times New Roman" w:hAnsi="Arial" w:cs="Arial"/>
          <w:color w:val="333333"/>
          <w:kern w:val="0"/>
          <w:sz w:val="20"/>
          <w:szCs w:val="20"/>
          <w:lang w:eastAsia="ru-RU"/>
          <w14:ligatures w14:val="none"/>
        </w:rPr>
      </w:pPr>
      <w:r w:rsidRPr="00523575">
        <w:rPr>
          <w:rFonts w:ascii="Arial" w:eastAsia="Times New Roman" w:hAnsi="Arial" w:cs="Arial"/>
          <w:i/>
          <w:iCs/>
          <w:color w:val="333333"/>
          <w:kern w:val="0"/>
          <w:sz w:val="20"/>
          <w:szCs w:val="20"/>
          <w:lang w:eastAsia="ru-RU"/>
          <w14:ligatures w14:val="none"/>
        </w:rPr>
        <w:t>Больные сахарным диабетом</w:t>
      </w:r>
    </w:p>
    <w:p w14:paraId="2D73DB2B" w14:textId="77777777" w:rsidR="00523575" w:rsidRPr="00523575" w:rsidRDefault="00523575" w:rsidP="00523575">
      <w:pPr>
        <w:spacing w:before="75" w:after="75"/>
        <w:rPr>
          <w:rFonts w:ascii="Arial" w:eastAsia="Times New Roman" w:hAnsi="Arial" w:cs="Arial"/>
          <w:color w:val="333333"/>
          <w:kern w:val="0"/>
          <w:sz w:val="20"/>
          <w:szCs w:val="20"/>
          <w:lang w:eastAsia="ru-RU"/>
          <w14:ligatures w14:val="none"/>
        </w:rPr>
      </w:pPr>
      <w:r w:rsidRPr="00523575">
        <w:rPr>
          <w:rFonts w:ascii="Arial" w:eastAsia="Times New Roman" w:hAnsi="Arial" w:cs="Arial"/>
          <w:color w:val="333333"/>
          <w:kern w:val="0"/>
          <w:sz w:val="20"/>
          <w:szCs w:val="20"/>
          <w:lang w:eastAsia="ru-RU"/>
          <w14:ligatures w14:val="none"/>
        </w:rPr>
        <w:t>Данный препарат содержит раствор мальтита. Если вам известно, что вы страдаете непереносимостью определенных видов сахаров, проконсультируйтесь с врачом перед приемом препарата.</w:t>
      </w:r>
    </w:p>
    <w:p w14:paraId="50ABC70E" w14:textId="35AE6852" w:rsidR="00523575" w:rsidRPr="00523575" w:rsidRDefault="00523575" w:rsidP="00523575">
      <w:pPr>
        <w:spacing w:before="75" w:after="75"/>
        <w:rPr>
          <w:rFonts w:ascii="Arial" w:eastAsia="Times New Roman" w:hAnsi="Arial" w:cs="Arial"/>
          <w:color w:val="333333"/>
          <w:kern w:val="0"/>
          <w:sz w:val="20"/>
          <w:szCs w:val="20"/>
          <w:lang w:eastAsia="ru-RU"/>
          <w14:ligatures w14:val="none"/>
        </w:rPr>
      </w:pPr>
      <w:r w:rsidRPr="00523575">
        <w:rPr>
          <w:rFonts w:ascii="Arial" w:eastAsia="Times New Roman" w:hAnsi="Arial" w:cs="Arial"/>
          <w:color w:val="333333"/>
          <w:kern w:val="0"/>
          <w:sz w:val="20"/>
          <w:szCs w:val="20"/>
          <w:lang w:eastAsia="ru-RU"/>
          <w14:ligatures w14:val="none"/>
        </w:rPr>
        <w:t>7,0 мл сиропа содержат 5,5 г. раствора мальтита, что соответствует приблизительно 0,35 хлебным единицам (ХЕ). Энергетическая ценность составляет 2,3 ккал/г. Мальтит может вызывать легкое слабительное действие.</w:t>
      </w:r>
    </w:p>
    <w:p w14:paraId="707BC2C3" w14:textId="77777777" w:rsidR="006200A7" w:rsidRPr="003D1FE2" w:rsidRDefault="006200A7" w:rsidP="006200A7">
      <w:pPr>
        <w:spacing w:before="75" w:after="75"/>
        <w:rPr>
          <w:rFonts w:ascii="Arial" w:eastAsia="Times New Roman" w:hAnsi="Arial" w:cs="Arial"/>
          <w:color w:val="333333"/>
          <w:kern w:val="0"/>
          <w:sz w:val="20"/>
          <w:szCs w:val="20"/>
          <w:lang w:eastAsia="ru-RU"/>
          <w14:ligatures w14:val="none"/>
        </w:rPr>
      </w:pPr>
    </w:p>
    <w:p w14:paraId="56EB9C43" w14:textId="50107639" w:rsidR="006200A7" w:rsidRPr="00546916"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Особые указания</w:t>
      </w:r>
      <w:r w:rsidR="006718CD">
        <w:rPr>
          <w:rFonts w:ascii="Arial" w:eastAsia="Times New Roman" w:hAnsi="Arial" w:cs="Arial"/>
          <w:b/>
          <w:bCs/>
          <w:color w:val="1F3864" w:themeColor="accent5" w:themeShade="80"/>
          <w:kern w:val="0"/>
          <w:sz w:val="23"/>
          <w:szCs w:val="23"/>
          <w:lang w:eastAsia="ru-RU"/>
          <w14:ligatures w14:val="none"/>
        </w:rPr>
        <w:t>.</w:t>
      </w:r>
    </w:p>
    <w:p w14:paraId="53E2401B" w14:textId="77777777" w:rsidR="000D4911" w:rsidRPr="000D4911" w:rsidRDefault="000D4911" w:rsidP="000D4911">
      <w:pPr>
        <w:spacing w:before="75" w:after="75"/>
        <w:rPr>
          <w:rFonts w:ascii="Arial" w:eastAsia="Times New Roman" w:hAnsi="Arial" w:cs="Arial"/>
          <w:color w:val="333333"/>
          <w:kern w:val="0"/>
          <w:sz w:val="20"/>
          <w:szCs w:val="20"/>
          <w:lang w:eastAsia="ru-RU"/>
          <w14:ligatures w14:val="none"/>
        </w:rPr>
      </w:pPr>
      <w:r w:rsidRPr="000D4911">
        <w:rPr>
          <w:rFonts w:ascii="Arial" w:eastAsia="Times New Roman" w:hAnsi="Arial" w:cs="Arial"/>
          <w:color w:val="333333"/>
          <w:kern w:val="0"/>
          <w:sz w:val="20"/>
          <w:szCs w:val="20"/>
          <w:lang w:eastAsia="ru-RU"/>
          <w14:ligatures w14:val="none"/>
        </w:rPr>
        <w:t>В составе препарата содержится 16,0 – 19,0 % этанола (в объемном отношении).</w:t>
      </w:r>
    </w:p>
    <w:p w14:paraId="29C23443" w14:textId="77777777" w:rsidR="000D4911" w:rsidRPr="000D4911" w:rsidRDefault="000D4911" w:rsidP="000D4911">
      <w:pPr>
        <w:spacing w:before="75" w:after="75"/>
        <w:rPr>
          <w:rFonts w:ascii="Arial" w:eastAsia="Times New Roman" w:hAnsi="Arial" w:cs="Arial"/>
          <w:color w:val="333333"/>
          <w:kern w:val="0"/>
          <w:sz w:val="20"/>
          <w:szCs w:val="20"/>
          <w:lang w:eastAsia="ru-RU"/>
          <w14:ligatures w14:val="none"/>
        </w:rPr>
      </w:pPr>
      <w:r w:rsidRPr="000D4911">
        <w:rPr>
          <w:rFonts w:ascii="Arial" w:eastAsia="Times New Roman" w:hAnsi="Arial" w:cs="Arial"/>
          <w:color w:val="333333"/>
          <w:kern w:val="0"/>
          <w:sz w:val="20"/>
          <w:szCs w:val="20"/>
          <w:lang w:eastAsia="ru-RU"/>
          <w14:ligatures w14:val="none"/>
        </w:rPr>
        <w:t>При использовании флакон следует держать в вертикальном положении.</w:t>
      </w:r>
    </w:p>
    <w:p w14:paraId="1A5BA9C3" w14:textId="645DB4A0" w:rsidR="000D4911" w:rsidRPr="000D4911" w:rsidRDefault="000D4911" w:rsidP="000D4911">
      <w:pPr>
        <w:spacing w:before="75" w:after="75"/>
        <w:rPr>
          <w:rFonts w:ascii="Arial" w:eastAsia="Times New Roman" w:hAnsi="Arial" w:cs="Arial"/>
          <w:color w:val="333333"/>
          <w:kern w:val="0"/>
          <w:sz w:val="20"/>
          <w:szCs w:val="20"/>
          <w:lang w:eastAsia="ru-RU"/>
          <w14:ligatures w14:val="none"/>
        </w:rPr>
      </w:pPr>
      <w:r w:rsidRPr="000D4911">
        <w:rPr>
          <w:rFonts w:ascii="Arial" w:eastAsia="Times New Roman" w:hAnsi="Arial" w:cs="Arial"/>
          <w:color w:val="333333"/>
          <w:kern w:val="0"/>
          <w:sz w:val="20"/>
          <w:szCs w:val="20"/>
          <w:lang w:eastAsia="ru-RU"/>
          <w14:ligatures w14:val="none"/>
        </w:rPr>
        <w:t xml:space="preserve">В процессе хранения капель </w:t>
      </w:r>
      <w:r w:rsidR="00523575">
        <w:rPr>
          <w:rFonts w:ascii="Arial" w:eastAsia="Times New Roman" w:hAnsi="Arial" w:cs="Arial"/>
          <w:color w:val="333333"/>
          <w:kern w:val="0"/>
          <w:sz w:val="20"/>
          <w:szCs w:val="20"/>
          <w:lang w:eastAsia="ru-RU"/>
          <w14:ligatures w14:val="none"/>
        </w:rPr>
        <w:t>Проецин</w:t>
      </w:r>
      <w:r w:rsidRPr="000D4911">
        <w:rPr>
          <w:rFonts w:ascii="Arial" w:eastAsia="Times New Roman" w:hAnsi="Arial" w:cs="Arial"/>
          <w:color w:val="333333"/>
          <w:kern w:val="0"/>
          <w:sz w:val="20"/>
          <w:szCs w:val="20"/>
          <w:vertAlign w:val="superscript"/>
          <w:lang w:eastAsia="ru-RU"/>
          <w14:ligatures w14:val="none"/>
        </w:rPr>
        <w:t>®</w:t>
      </w:r>
      <w:r w:rsidRPr="000D4911">
        <w:rPr>
          <w:rFonts w:ascii="Arial" w:eastAsia="Times New Roman" w:hAnsi="Arial" w:cs="Arial"/>
          <w:color w:val="333333"/>
          <w:kern w:val="0"/>
          <w:sz w:val="20"/>
          <w:szCs w:val="20"/>
          <w:lang w:eastAsia="ru-RU"/>
          <w14:ligatures w14:val="none"/>
        </w:rPr>
        <w:t> возможно легкое помутнение или выпадение незначительного осадка, что не влияет на эффективность препарата.</w:t>
      </w:r>
    </w:p>
    <w:p w14:paraId="498C52E4" w14:textId="77777777" w:rsidR="000D4911" w:rsidRPr="000D4911" w:rsidRDefault="000D4911" w:rsidP="000D4911">
      <w:pPr>
        <w:spacing w:before="75" w:after="75"/>
        <w:rPr>
          <w:rFonts w:ascii="Arial" w:eastAsia="Times New Roman" w:hAnsi="Arial" w:cs="Arial"/>
          <w:color w:val="333333"/>
          <w:kern w:val="0"/>
          <w:sz w:val="20"/>
          <w:szCs w:val="20"/>
          <w:lang w:eastAsia="ru-RU"/>
          <w14:ligatures w14:val="none"/>
        </w:rPr>
      </w:pPr>
      <w:r w:rsidRPr="000D4911">
        <w:rPr>
          <w:rFonts w:ascii="Arial" w:eastAsia="Times New Roman" w:hAnsi="Arial" w:cs="Arial"/>
          <w:color w:val="333333"/>
          <w:kern w:val="0"/>
          <w:sz w:val="20"/>
          <w:szCs w:val="20"/>
          <w:lang w:eastAsia="ru-RU"/>
          <w14:ligatures w14:val="none"/>
        </w:rPr>
        <w:t>При применении в рекомендуемых дозах препарат не оказывает влияния на способность к управлению автотранспортом и работе с механизмами, требующими повышенного внимания.</w:t>
      </w:r>
    </w:p>
    <w:p w14:paraId="2754BF62" w14:textId="77777777" w:rsidR="000D4911" w:rsidRDefault="000D4911" w:rsidP="000D4911">
      <w:pPr>
        <w:spacing w:before="75" w:after="75"/>
        <w:rPr>
          <w:rFonts w:ascii="Arial" w:eastAsia="Times New Roman" w:hAnsi="Arial" w:cs="Arial"/>
          <w:color w:val="333333"/>
          <w:kern w:val="0"/>
          <w:sz w:val="20"/>
          <w:szCs w:val="20"/>
          <w:lang w:eastAsia="ru-RU"/>
          <w14:ligatures w14:val="none"/>
        </w:rPr>
      </w:pPr>
      <w:r w:rsidRPr="000D4911">
        <w:rPr>
          <w:rFonts w:ascii="Arial" w:eastAsia="Times New Roman" w:hAnsi="Arial" w:cs="Arial"/>
          <w:color w:val="333333"/>
          <w:kern w:val="0"/>
          <w:sz w:val="20"/>
          <w:szCs w:val="20"/>
          <w:lang w:eastAsia="ru-RU"/>
          <w14:ligatures w14:val="none"/>
        </w:rPr>
        <w:t>Перед употреблением взбалтывать!</w:t>
      </w:r>
    </w:p>
    <w:p w14:paraId="29DE199E" w14:textId="77777777" w:rsidR="00642462" w:rsidRPr="00642462" w:rsidRDefault="00642462" w:rsidP="00642462">
      <w:pPr>
        <w:spacing w:before="75" w:after="75"/>
        <w:rPr>
          <w:rFonts w:ascii="Arial" w:eastAsia="Times New Roman" w:hAnsi="Arial" w:cs="Arial"/>
          <w:b/>
          <w:bCs/>
          <w:color w:val="333333"/>
          <w:kern w:val="0"/>
          <w:sz w:val="20"/>
          <w:szCs w:val="20"/>
          <w:lang w:eastAsia="ru-RU"/>
          <w14:ligatures w14:val="none"/>
        </w:rPr>
      </w:pPr>
      <w:r w:rsidRPr="00642462">
        <w:rPr>
          <w:rFonts w:ascii="Arial" w:eastAsia="Times New Roman" w:hAnsi="Arial" w:cs="Arial"/>
          <w:b/>
          <w:bCs/>
          <w:color w:val="333333"/>
          <w:kern w:val="0"/>
          <w:sz w:val="20"/>
          <w:szCs w:val="20"/>
          <w:lang w:eastAsia="ru-RU"/>
          <w14:ligatures w14:val="none"/>
        </w:rPr>
        <w:t>Влияние на способность управлять транспортными средствами, механизмами</w:t>
      </w:r>
    </w:p>
    <w:p w14:paraId="48899844" w14:textId="77777777" w:rsidR="00642462" w:rsidRPr="00642462" w:rsidRDefault="00642462" w:rsidP="00642462">
      <w:pPr>
        <w:spacing w:before="75" w:after="75"/>
        <w:rPr>
          <w:rFonts w:ascii="Arial" w:eastAsia="Times New Roman" w:hAnsi="Arial" w:cs="Arial"/>
          <w:color w:val="333333"/>
          <w:kern w:val="0"/>
          <w:sz w:val="20"/>
          <w:szCs w:val="20"/>
          <w:lang w:eastAsia="ru-RU"/>
          <w14:ligatures w14:val="none"/>
        </w:rPr>
      </w:pPr>
      <w:r w:rsidRPr="00642462">
        <w:rPr>
          <w:rFonts w:ascii="Arial" w:eastAsia="Times New Roman" w:hAnsi="Arial" w:cs="Arial"/>
          <w:color w:val="333333"/>
          <w:kern w:val="0"/>
          <w:sz w:val="20"/>
          <w:szCs w:val="20"/>
          <w:lang w:eastAsia="ru-RU"/>
          <w14:ligatures w14:val="none"/>
        </w:rPr>
        <w:t>При применении в рекомендуемых дозах препарат не оказывает влияния на способность к выполнению потенциально опасных видов деятельности, требующих повышенной концентрации внимания и быстроты психомоторных реакций (в том числе, управление транспортными средствами, работа с движущимися механизмами).</w:t>
      </w:r>
    </w:p>
    <w:p w14:paraId="00C622AE" w14:textId="22943968" w:rsidR="006200A7" w:rsidRPr="00546916"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Передозировка</w:t>
      </w:r>
      <w:r w:rsidR="006718CD">
        <w:rPr>
          <w:rFonts w:ascii="Arial" w:eastAsia="Times New Roman" w:hAnsi="Arial" w:cs="Arial"/>
          <w:b/>
          <w:bCs/>
          <w:color w:val="1F3864" w:themeColor="accent5" w:themeShade="80"/>
          <w:kern w:val="0"/>
          <w:sz w:val="23"/>
          <w:szCs w:val="23"/>
          <w:lang w:eastAsia="ru-RU"/>
          <w14:ligatures w14:val="none"/>
        </w:rPr>
        <w:t>.</w:t>
      </w:r>
    </w:p>
    <w:p w14:paraId="049E76B4" w14:textId="2C0AECDB" w:rsidR="006200A7" w:rsidRPr="003D1FE2" w:rsidRDefault="000D4911" w:rsidP="006200A7">
      <w:pPr>
        <w:spacing w:before="75" w:after="75"/>
        <w:rPr>
          <w:rFonts w:ascii="Arial" w:eastAsia="Times New Roman" w:hAnsi="Arial" w:cs="Arial"/>
          <w:color w:val="333333"/>
          <w:kern w:val="0"/>
          <w:sz w:val="20"/>
          <w:szCs w:val="20"/>
          <w:lang w:eastAsia="ru-RU"/>
          <w14:ligatures w14:val="none"/>
        </w:rPr>
      </w:pPr>
      <w:r w:rsidRPr="000D4911">
        <w:rPr>
          <w:rFonts w:ascii="Arial" w:eastAsia="Times New Roman" w:hAnsi="Arial" w:cs="Arial"/>
          <w:color w:val="333333"/>
          <w:kern w:val="0"/>
          <w:sz w:val="20"/>
          <w:szCs w:val="20"/>
          <w:lang w:eastAsia="ru-RU"/>
          <w14:ligatures w14:val="none"/>
        </w:rPr>
        <w:t>В случае передозировки возможно усиление выраженности дозозависимых побочных эффектов. Лечение – симптоматическое.</w:t>
      </w:r>
    </w:p>
    <w:p w14:paraId="4E3C8A6B" w14:textId="2B6B1650" w:rsidR="006200A7" w:rsidRPr="00546916"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Лекарственное взаимодействие</w:t>
      </w:r>
      <w:r w:rsidR="006718CD">
        <w:rPr>
          <w:rFonts w:ascii="Arial" w:eastAsia="Times New Roman" w:hAnsi="Arial" w:cs="Arial"/>
          <w:b/>
          <w:bCs/>
          <w:color w:val="1F3864" w:themeColor="accent5" w:themeShade="80"/>
          <w:kern w:val="0"/>
          <w:sz w:val="23"/>
          <w:szCs w:val="23"/>
          <w:lang w:eastAsia="ru-RU"/>
          <w14:ligatures w14:val="none"/>
        </w:rPr>
        <w:t>.</w:t>
      </w:r>
    </w:p>
    <w:p w14:paraId="0396F91A" w14:textId="77777777" w:rsidR="006200A7" w:rsidRPr="003D1FE2"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color w:val="333333"/>
          <w:kern w:val="0"/>
          <w:sz w:val="20"/>
          <w:szCs w:val="20"/>
          <w:lang w:eastAsia="ru-RU"/>
          <w14:ligatures w14:val="none"/>
        </w:rPr>
        <w:t>Комбинация с антибактериальными лекарственными средствами возможна и целесообразна.</w:t>
      </w:r>
    </w:p>
    <w:p w14:paraId="51DEFFD5" w14:textId="77777777" w:rsidR="006200A7" w:rsidRDefault="006200A7" w:rsidP="006200A7">
      <w:pPr>
        <w:spacing w:before="75" w:after="75"/>
        <w:rPr>
          <w:rFonts w:ascii="Arial" w:eastAsia="Times New Roman" w:hAnsi="Arial" w:cs="Arial"/>
          <w:color w:val="333333"/>
          <w:kern w:val="0"/>
          <w:sz w:val="20"/>
          <w:szCs w:val="20"/>
          <w:lang w:eastAsia="ru-RU"/>
          <w14:ligatures w14:val="none"/>
        </w:rPr>
      </w:pPr>
      <w:r w:rsidRPr="003D1FE2">
        <w:rPr>
          <w:rFonts w:ascii="Arial" w:eastAsia="Times New Roman" w:hAnsi="Arial" w:cs="Arial"/>
          <w:color w:val="333333"/>
          <w:kern w:val="0"/>
          <w:sz w:val="20"/>
          <w:szCs w:val="20"/>
          <w:lang w:eastAsia="ru-RU"/>
          <w14:ligatures w14:val="none"/>
        </w:rPr>
        <w:t>Взаимодействие с другими лекарственными средствами до настоящего времени неизвестно.</w:t>
      </w:r>
    </w:p>
    <w:p w14:paraId="730980B7" w14:textId="77777777" w:rsidR="006200A7" w:rsidRPr="003D1FE2" w:rsidRDefault="006200A7" w:rsidP="006200A7">
      <w:pPr>
        <w:spacing w:before="75" w:after="75"/>
        <w:rPr>
          <w:rFonts w:ascii="Arial" w:eastAsia="Times New Roman" w:hAnsi="Arial" w:cs="Arial"/>
          <w:color w:val="333333"/>
          <w:kern w:val="0"/>
          <w:sz w:val="20"/>
          <w:szCs w:val="20"/>
          <w:lang w:eastAsia="ru-RU"/>
          <w14:ligatures w14:val="none"/>
        </w:rPr>
      </w:pPr>
    </w:p>
    <w:p w14:paraId="4E9BF3BA" w14:textId="4643B222" w:rsidR="006200A7" w:rsidRPr="00546916" w:rsidRDefault="006200A7" w:rsidP="006200A7">
      <w:pPr>
        <w:spacing w:before="30" w:after="45"/>
        <w:outlineLvl w:val="1"/>
        <w:rPr>
          <w:rFonts w:ascii="Arial" w:eastAsia="Times New Roman" w:hAnsi="Arial" w:cs="Arial"/>
          <w:color w:val="1F3864" w:themeColor="accent5" w:themeShade="80"/>
          <w:kern w:val="0"/>
          <w:sz w:val="20"/>
          <w:szCs w:val="20"/>
          <w:vertAlign w:val="superscript"/>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 xml:space="preserve">Условия хранения препарата </w:t>
      </w:r>
      <w:r w:rsidR="006718CD">
        <w:rPr>
          <w:rFonts w:ascii="Arial" w:eastAsia="Times New Roman" w:hAnsi="Arial" w:cs="Arial"/>
          <w:b/>
          <w:bCs/>
          <w:color w:val="1F3864" w:themeColor="accent5" w:themeShade="80"/>
          <w:kern w:val="0"/>
          <w:sz w:val="23"/>
          <w:szCs w:val="23"/>
          <w:lang w:eastAsia="ru-RU"/>
          <w14:ligatures w14:val="none"/>
        </w:rPr>
        <w:t>.</w:t>
      </w:r>
    </w:p>
    <w:p w14:paraId="14B40153" w14:textId="77777777" w:rsidR="002E55BA" w:rsidRPr="002E55BA" w:rsidRDefault="002E55BA" w:rsidP="002E55BA">
      <w:pPr>
        <w:spacing w:before="30" w:after="45"/>
        <w:outlineLvl w:val="1"/>
        <w:rPr>
          <w:rFonts w:ascii="Arial" w:eastAsia="Times New Roman" w:hAnsi="Arial" w:cs="Arial"/>
          <w:color w:val="333333"/>
          <w:kern w:val="0"/>
          <w:sz w:val="20"/>
          <w:szCs w:val="20"/>
          <w:lang w:eastAsia="ru-RU"/>
          <w14:ligatures w14:val="none"/>
        </w:rPr>
      </w:pPr>
      <w:r w:rsidRPr="002E55BA">
        <w:rPr>
          <w:rFonts w:ascii="Arial" w:eastAsia="Times New Roman" w:hAnsi="Arial" w:cs="Arial"/>
          <w:color w:val="333333"/>
          <w:kern w:val="0"/>
          <w:sz w:val="20"/>
          <w:szCs w:val="20"/>
          <w:lang w:eastAsia="ru-RU"/>
          <w14:ligatures w14:val="none"/>
        </w:rPr>
        <w:t>В сухом, защищённом от света месте, при температуре не выше 25°С.</w:t>
      </w:r>
    </w:p>
    <w:p w14:paraId="58A383B3" w14:textId="77777777" w:rsidR="002E55BA" w:rsidRPr="002E55BA" w:rsidRDefault="002E55BA" w:rsidP="002E55BA">
      <w:pPr>
        <w:spacing w:before="30" w:after="45"/>
        <w:outlineLvl w:val="1"/>
        <w:rPr>
          <w:rFonts w:ascii="Arial" w:eastAsia="Times New Roman" w:hAnsi="Arial" w:cs="Arial"/>
          <w:color w:val="333333"/>
          <w:kern w:val="0"/>
          <w:sz w:val="20"/>
          <w:szCs w:val="20"/>
          <w:lang w:eastAsia="ru-RU"/>
          <w14:ligatures w14:val="none"/>
        </w:rPr>
      </w:pPr>
      <w:r w:rsidRPr="002E55BA">
        <w:rPr>
          <w:rFonts w:ascii="Arial" w:eastAsia="Times New Roman" w:hAnsi="Arial" w:cs="Arial"/>
          <w:color w:val="333333"/>
          <w:kern w:val="0"/>
          <w:sz w:val="20"/>
          <w:szCs w:val="20"/>
          <w:lang w:eastAsia="ru-RU"/>
          <w14:ligatures w14:val="none"/>
        </w:rPr>
        <w:t>Хранить в недоступном для детей месте.</w:t>
      </w:r>
    </w:p>
    <w:p w14:paraId="1CAA6FF9" w14:textId="2E15AF99" w:rsidR="006200A7"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Срок годности препарата</w:t>
      </w:r>
      <w:r w:rsidR="006718CD">
        <w:rPr>
          <w:rFonts w:ascii="Arial" w:eastAsia="Times New Roman" w:hAnsi="Arial" w:cs="Arial"/>
          <w:b/>
          <w:bCs/>
          <w:color w:val="1F3864" w:themeColor="accent5" w:themeShade="80"/>
          <w:kern w:val="0"/>
          <w:sz w:val="23"/>
          <w:szCs w:val="23"/>
          <w:lang w:eastAsia="ru-RU"/>
          <w14:ligatures w14:val="none"/>
        </w:rPr>
        <w:t>.</w:t>
      </w:r>
      <w:r w:rsidRPr="00546916">
        <w:rPr>
          <w:rFonts w:ascii="Arial" w:eastAsia="Times New Roman" w:hAnsi="Arial" w:cs="Arial"/>
          <w:b/>
          <w:bCs/>
          <w:color w:val="1F3864" w:themeColor="accent5" w:themeShade="80"/>
          <w:kern w:val="0"/>
          <w:sz w:val="23"/>
          <w:szCs w:val="23"/>
          <w:lang w:eastAsia="ru-RU"/>
          <w14:ligatures w14:val="none"/>
        </w:rPr>
        <w:t xml:space="preserve"> </w:t>
      </w:r>
    </w:p>
    <w:p w14:paraId="51965775" w14:textId="77777777" w:rsidR="006200A7" w:rsidRDefault="006200A7" w:rsidP="006200A7">
      <w:pPr>
        <w:spacing w:before="30" w:after="45"/>
        <w:outlineLvl w:val="1"/>
        <w:rPr>
          <w:rFonts w:ascii="Arial" w:eastAsia="Times New Roman" w:hAnsi="Arial" w:cs="Arial"/>
          <w:color w:val="333333"/>
          <w:kern w:val="0"/>
          <w:sz w:val="20"/>
          <w:szCs w:val="20"/>
          <w:lang w:eastAsia="ru-RU"/>
          <w14:ligatures w14:val="none"/>
        </w:rPr>
      </w:pPr>
      <w:r w:rsidRPr="00C70CE3">
        <w:rPr>
          <w:rFonts w:ascii="Arial" w:eastAsia="Times New Roman" w:hAnsi="Arial" w:cs="Arial"/>
          <w:color w:val="333333"/>
          <w:kern w:val="0"/>
          <w:sz w:val="20"/>
          <w:szCs w:val="20"/>
          <w:lang w:eastAsia="ru-RU"/>
          <w14:ligatures w14:val="none"/>
        </w:rPr>
        <w:t xml:space="preserve">Срок годности - </w:t>
      </w:r>
      <w:r>
        <w:rPr>
          <w:rFonts w:ascii="Arial" w:eastAsia="Times New Roman" w:hAnsi="Arial" w:cs="Arial"/>
          <w:color w:val="333333"/>
          <w:kern w:val="0"/>
          <w:sz w:val="20"/>
          <w:szCs w:val="20"/>
          <w:lang w:eastAsia="ru-RU"/>
          <w14:ligatures w14:val="none"/>
        </w:rPr>
        <w:t>2</w:t>
      </w:r>
      <w:r w:rsidRPr="00C70CE3">
        <w:rPr>
          <w:rFonts w:ascii="Arial" w:eastAsia="Times New Roman" w:hAnsi="Arial" w:cs="Arial"/>
          <w:color w:val="333333"/>
          <w:kern w:val="0"/>
          <w:sz w:val="20"/>
          <w:szCs w:val="20"/>
          <w:lang w:eastAsia="ru-RU"/>
          <w14:ligatures w14:val="none"/>
        </w:rPr>
        <w:t xml:space="preserve"> года. </w:t>
      </w:r>
    </w:p>
    <w:p w14:paraId="675A6841" w14:textId="77777777" w:rsidR="002E55BA" w:rsidRPr="002E55BA" w:rsidRDefault="002E55BA" w:rsidP="002E55BA">
      <w:pPr>
        <w:spacing w:after="0"/>
        <w:rPr>
          <w:rFonts w:ascii="Arial" w:eastAsia="Times New Roman" w:hAnsi="Arial" w:cs="Arial"/>
          <w:color w:val="333333"/>
          <w:kern w:val="0"/>
          <w:sz w:val="20"/>
          <w:szCs w:val="20"/>
          <w:lang w:eastAsia="ru-RU"/>
          <w14:ligatures w14:val="none"/>
        </w:rPr>
      </w:pPr>
      <w:r w:rsidRPr="002E55BA">
        <w:rPr>
          <w:rFonts w:ascii="Arial" w:eastAsia="Times New Roman" w:hAnsi="Arial" w:cs="Arial"/>
          <w:color w:val="333333"/>
          <w:kern w:val="0"/>
          <w:sz w:val="20"/>
          <w:szCs w:val="20"/>
          <w:lang w:eastAsia="ru-RU"/>
          <w14:ligatures w14:val="none"/>
        </w:rPr>
        <w:t>Не применять по истечении срока годности.</w:t>
      </w:r>
    </w:p>
    <w:p w14:paraId="125E6C58" w14:textId="77777777" w:rsidR="002E55BA" w:rsidRPr="002E55BA" w:rsidRDefault="002E55BA" w:rsidP="002E55BA">
      <w:pPr>
        <w:spacing w:after="0"/>
        <w:rPr>
          <w:rFonts w:ascii="Arial" w:eastAsia="Times New Roman" w:hAnsi="Arial" w:cs="Arial"/>
          <w:color w:val="333333"/>
          <w:kern w:val="0"/>
          <w:sz w:val="20"/>
          <w:szCs w:val="20"/>
          <w:lang w:eastAsia="ru-RU"/>
          <w14:ligatures w14:val="none"/>
        </w:rPr>
      </w:pPr>
      <w:r w:rsidRPr="002E55BA">
        <w:rPr>
          <w:rFonts w:ascii="Arial" w:eastAsia="Times New Roman" w:hAnsi="Arial" w:cs="Arial"/>
          <w:color w:val="333333"/>
          <w:kern w:val="0"/>
          <w:sz w:val="20"/>
          <w:szCs w:val="20"/>
          <w:lang w:eastAsia="ru-RU"/>
          <w14:ligatures w14:val="none"/>
        </w:rPr>
        <w:t>Открытые флаконы можно использовать в течение 6 месяцев.</w:t>
      </w:r>
    </w:p>
    <w:p w14:paraId="6E4B26C2" w14:textId="77777777" w:rsidR="006200A7" w:rsidRPr="00546916" w:rsidRDefault="006200A7" w:rsidP="006200A7">
      <w:pPr>
        <w:spacing w:after="0"/>
        <w:rPr>
          <w:rFonts w:ascii="Arial" w:eastAsia="Times New Roman" w:hAnsi="Arial" w:cs="Arial"/>
          <w:color w:val="1F3864" w:themeColor="accent5" w:themeShade="80"/>
          <w:kern w:val="0"/>
          <w:sz w:val="20"/>
          <w:szCs w:val="20"/>
          <w:lang w:eastAsia="ru-RU"/>
          <w14:ligatures w14:val="none"/>
        </w:rPr>
      </w:pPr>
    </w:p>
    <w:p w14:paraId="541AD7B0" w14:textId="7D37B512" w:rsidR="006200A7" w:rsidRPr="00546916" w:rsidRDefault="006200A7" w:rsidP="006200A7">
      <w:pPr>
        <w:spacing w:before="30" w:after="45"/>
        <w:outlineLvl w:val="1"/>
        <w:rPr>
          <w:rFonts w:ascii="Arial" w:eastAsia="Times New Roman" w:hAnsi="Arial" w:cs="Arial"/>
          <w:b/>
          <w:bCs/>
          <w:color w:val="1F3864" w:themeColor="accent5" w:themeShade="80"/>
          <w:kern w:val="0"/>
          <w:sz w:val="23"/>
          <w:szCs w:val="23"/>
          <w:lang w:eastAsia="ru-RU"/>
          <w14:ligatures w14:val="none"/>
        </w:rPr>
      </w:pPr>
      <w:r w:rsidRPr="00546916">
        <w:rPr>
          <w:rFonts w:ascii="Arial" w:eastAsia="Times New Roman" w:hAnsi="Arial" w:cs="Arial"/>
          <w:b/>
          <w:bCs/>
          <w:color w:val="1F3864" w:themeColor="accent5" w:themeShade="80"/>
          <w:kern w:val="0"/>
          <w:sz w:val="23"/>
          <w:szCs w:val="23"/>
          <w:lang w:eastAsia="ru-RU"/>
          <w14:ligatures w14:val="none"/>
        </w:rPr>
        <w:t>Условия реализации</w:t>
      </w:r>
      <w:r w:rsidR="006718CD">
        <w:rPr>
          <w:rFonts w:ascii="Arial" w:eastAsia="Times New Roman" w:hAnsi="Arial" w:cs="Arial"/>
          <w:b/>
          <w:bCs/>
          <w:color w:val="1F3864" w:themeColor="accent5" w:themeShade="80"/>
          <w:kern w:val="0"/>
          <w:sz w:val="23"/>
          <w:szCs w:val="23"/>
          <w:lang w:eastAsia="ru-RU"/>
          <w14:ligatures w14:val="none"/>
        </w:rPr>
        <w:t>.</w:t>
      </w:r>
    </w:p>
    <w:p w14:paraId="24D1547B" w14:textId="07E87E08" w:rsidR="006200A7" w:rsidRDefault="006200A7" w:rsidP="006200A7">
      <w:pPr>
        <w:spacing w:before="75" w:after="75"/>
        <w:rPr>
          <w:rFonts w:ascii="Arial" w:eastAsia="Times New Roman" w:hAnsi="Arial" w:cs="Arial"/>
          <w:color w:val="333333"/>
          <w:kern w:val="0"/>
          <w:sz w:val="20"/>
          <w:szCs w:val="20"/>
          <w:lang w:eastAsia="ru-RU"/>
          <w14:ligatures w14:val="none"/>
        </w:rPr>
      </w:pPr>
      <w:r w:rsidRPr="00C70CE3">
        <w:rPr>
          <w:rFonts w:ascii="Arial" w:eastAsia="Times New Roman" w:hAnsi="Arial" w:cs="Arial"/>
          <w:color w:val="333333"/>
          <w:kern w:val="0"/>
          <w:sz w:val="20"/>
          <w:szCs w:val="20"/>
          <w:lang w:eastAsia="ru-RU"/>
          <w14:ligatures w14:val="none"/>
        </w:rPr>
        <w:t>Препарат отпускают без рецепта</w:t>
      </w:r>
      <w:r w:rsidR="006718CD">
        <w:rPr>
          <w:rFonts w:ascii="Arial" w:eastAsia="Times New Roman" w:hAnsi="Arial" w:cs="Arial"/>
          <w:color w:val="333333"/>
          <w:kern w:val="0"/>
          <w:sz w:val="20"/>
          <w:szCs w:val="20"/>
          <w:lang w:eastAsia="ru-RU"/>
          <w14:ligatures w14:val="none"/>
        </w:rPr>
        <w:t>.</w:t>
      </w:r>
    </w:p>
    <w:p w14:paraId="0DA2A87C" w14:textId="77777777" w:rsidR="006200A7" w:rsidRDefault="006200A7" w:rsidP="006200A7">
      <w:pPr>
        <w:spacing w:before="75" w:after="75"/>
        <w:rPr>
          <w:rFonts w:ascii="Arial" w:eastAsia="Times New Roman" w:hAnsi="Arial" w:cs="Arial"/>
          <w:color w:val="333333"/>
          <w:kern w:val="0"/>
          <w:sz w:val="20"/>
          <w:szCs w:val="20"/>
          <w:lang w:eastAsia="ru-RU"/>
          <w14:ligatures w14:val="none"/>
        </w:rPr>
      </w:pPr>
    </w:p>
    <w:p w14:paraId="3426608F" w14:textId="77777777" w:rsidR="006200A7" w:rsidRPr="00546916" w:rsidRDefault="006200A7" w:rsidP="006200A7">
      <w:pPr>
        <w:spacing w:after="0"/>
        <w:rPr>
          <w:rFonts w:ascii="Arial" w:hAnsi="Arial" w:cs="Arial"/>
          <w:b/>
          <w:color w:val="1F3864" w:themeColor="accent5" w:themeShade="80"/>
          <w:sz w:val="23"/>
          <w:szCs w:val="23"/>
        </w:rPr>
      </w:pPr>
      <w:r w:rsidRPr="00546916">
        <w:rPr>
          <w:rFonts w:ascii="Arial" w:hAnsi="Arial" w:cs="Arial"/>
          <w:b/>
          <w:color w:val="1F3864" w:themeColor="accent5" w:themeShade="80"/>
          <w:sz w:val="23"/>
          <w:szCs w:val="23"/>
        </w:rPr>
        <w:t>Производитель:</w:t>
      </w:r>
    </w:p>
    <w:p w14:paraId="3F531AAD" w14:textId="77777777" w:rsidR="006200A7" w:rsidRPr="00C73B80" w:rsidRDefault="006200A7" w:rsidP="006200A7">
      <w:pPr>
        <w:spacing w:after="0"/>
        <w:rPr>
          <w:rFonts w:ascii="Arial" w:hAnsi="Arial" w:cs="Arial"/>
          <w:sz w:val="20"/>
          <w:szCs w:val="20"/>
        </w:rPr>
      </w:pPr>
      <w:r w:rsidRPr="00C73B80">
        <w:rPr>
          <w:rFonts w:ascii="Arial" w:hAnsi="Arial" w:cs="Arial"/>
          <w:sz w:val="20"/>
          <w:szCs w:val="20"/>
        </w:rPr>
        <w:t>ООО " SPRING PHARMACEUTIC " СП Великобритания.</w:t>
      </w:r>
    </w:p>
    <w:p w14:paraId="723338AF" w14:textId="77777777" w:rsidR="006200A7" w:rsidRPr="00C73B80" w:rsidRDefault="006200A7" w:rsidP="006200A7">
      <w:pPr>
        <w:spacing w:after="0"/>
        <w:rPr>
          <w:rFonts w:ascii="Arial" w:hAnsi="Arial" w:cs="Arial"/>
          <w:sz w:val="20"/>
          <w:szCs w:val="20"/>
        </w:rPr>
      </w:pPr>
    </w:p>
    <w:p w14:paraId="3212899C" w14:textId="77777777" w:rsidR="006200A7" w:rsidRPr="00546916" w:rsidRDefault="006200A7" w:rsidP="006200A7">
      <w:pPr>
        <w:spacing w:after="0"/>
        <w:rPr>
          <w:rFonts w:ascii="Arial" w:hAnsi="Arial" w:cs="Arial"/>
          <w:b/>
          <w:color w:val="1F3864" w:themeColor="accent5" w:themeShade="80"/>
          <w:sz w:val="23"/>
          <w:szCs w:val="23"/>
        </w:rPr>
      </w:pPr>
      <w:r w:rsidRPr="00546916">
        <w:rPr>
          <w:rFonts w:ascii="Arial" w:hAnsi="Arial" w:cs="Arial"/>
          <w:b/>
          <w:color w:val="1F3864" w:themeColor="accent5" w:themeShade="80"/>
          <w:sz w:val="23"/>
          <w:szCs w:val="23"/>
        </w:rPr>
        <w:t>Местонахождение производителя и адрес места осуществления деятельности:</w:t>
      </w:r>
    </w:p>
    <w:p w14:paraId="0C35FF37" w14:textId="77777777" w:rsidR="006200A7" w:rsidRPr="00C73B80" w:rsidRDefault="006200A7" w:rsidP="006200A7">
      <w:pPr>
        <w:spacing w:after="0"/>
        <w:rPr>
          <w:rFonts w:ascii="Arial" w:hAnsi="Arial" w:cs="Arial"/>
          <w:sz w:val="20"/>
          <w:szCs w:val="20"/>
        </w:rPr>
      </w:pPr>
      <w:r w:rsidRPr="00C73B80">
        <w:rPr>
          <w:rFonts w:ascii="Arial" w:hAnsi="Arial" w:cs="Arial"/>
          <w:sz w:val="20"/>
          <w:szCs w:val="20"/>
        </w:rPr>
        <w:t xml:space="preserve">Республика  Узбекистан , Наманганская область, Касансайский район, Кукимбой, Навбахор МСГ, улица Булак, дом 129.  </w:t>
      </w:r>
    </w:p>
    <w:p w14:paraId="0E8C96C8" w14:textId="10FE53FB" w:rsidR="006200A7" w:rsidRPr="00C73B80" w:rsidRDefault="006200A7" w:rsidP="006200A7">
      <w:pPr>
        <w:spacing w:after="0"/>
        <w:rPr>
          <w:rFonts w:ascii="Arial" w:hAnsi="Arial" w:cs="Arial"/>
          <w:sz w:val="20"/>
          <w:szCs w:val="20"/>
        </w:rPr>
      </w:pPr>
      <w:r w:rsidRPr="00C73B80">
        <w:rPr>
          <w:rFonts w:ascii="Arial" w:hAnsi="Arial" w:cs="Arial"/>
          <w:sz w:val="20"/>
          <w:szCs w:val="20"/>
        </w:rPr>
        <w:t>Тел. : +998996942363</w:t>
      </w:r>
      <w:r w:rsidR="006718CD">
        <w:rPr>
          <w:rFonts w:ascii="Arial" w:hAnsi="Arial" w:cs="Arial"/>
          <w:sz w:val="20"/>
          <w:szCs w:val="20"/>
        </w:rPr>
        <w:t>.</w:t>
      </w:r>
    </w:p>
    <w:p w14:paraId="42813A2B" w14:textId="77777777" w:rsidR="006200A7" w:rsidRPr="00C73B80" w:rsidRDefault="006200A7" w:rsidP="006200A7">
      <w:pPr>
        <w:spacing w:after="0"/>
        <w:rPr>
          <w:rFonts w:ascii="Arial" w:eastAsia="Calibri" w:hAnsi="Arial" w:cs="Arial"/>
          <w:sz w:val="20"/>
          <w:szCs w:val="20"/>
          <w:lang w:eastAsia="ru-RU"/>
        </w:rPr>
      </w:pPr>
    </w:p>
    <w:p w14:paraId="72A15058" w14:textId="77777777" w:rsidR="006200A7" w:rsidRPr="00C70CE3" w:rsidRDefault="006200A7" w:rsidP="006200A7">
      <w:pPr>
        <w:spacing w:before="75" w:after="75"/>
        <w:rPr>
          <w:rFonts w:ascii="Arial" w:eastAsia="Times New Roman" w:hAnsi="Arial" w:cs="Arial"/>
          <w:color w:val="333333"/>
          <w:kern w:val="0"/>
          <w:sz w:val="20"/>
          <w:szCs w:val="20"/>
          <w:lang w:eastAsia="ru-RU"/>
          <w14:ligatures w14:val="none"/>
        </w:rPr>
      </w:pPr>
    </w:p>
    <w:p w14:paraId="77CDADF8"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CC"/>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4949"/>
    <w:multiLevelType w:val="multilevel"/>
    <w:tmpl w:val="832E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64DC7"/>
    <w:multiLevelType w:val="multilevel"/>
    <w:tmpl w:val="450E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B6C9E"/>
    <w:multiLevelType w:val="multilevel"/>
    <w:tmpl w:val="686C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808062">
    <w:abstractNumId w:val="2"/>
  </w:num>
  <w:num w:numId="2" w16cid:durableId="430205915">
    <w:abstractNumId w:val="1"/>
  </w:num>
  <w:num w:numId="3" w16cid:durableId="43857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6F"/>
    <w:rsid w:val="000B65A2"/>
    <w:rsid w:val="000D4911"/>
    <w:rsid w:val="00111EA8"/>
    <w:rsid w:val="002C35D5"/>
    <w:rsid w:val="002E55BA"/>
    <w:rsid w:val="003771A6"/>
    <w:rsid w:val="004263E3"/>
    <w:rsid w:val="00454C5C"/>
    <w:rsid w:val="00523575"/>
    <w:rsid w:val="00545836"/>
    <w:rsid w:val="006200A7"/>
    <w:rsid w:val="006404E3"/>
    <w:rsid w:val="00642462"/>
    <w:rsid w:val="006718CD"/>
    <w:rsid w:val="006C0B77"/>
    <w:rsid w:val="006C76A9"/>
    <w:rsid w:val="006E60B3"/>
    <w:rsid w:val="00794989"/>
    <w:rsid w:val="008076E2"/>
    <w:rsid w:val="008242FF"/>
    <w:rsid w:val="00856B1F"/>
    <w:rsid w:val="00870751"/>
    <w:rsid w:val="008A7687"/>
    <w:rsid w:val="008F1280"/>
    <w:rsid w:val="009044AC"/>
    <w:rsid w:val="00922C48"/>
    <w:rsid w:val="0095489E"/>
    <w:rsid w:val="00965F15"/>
    <w:rsid w:val="0097686F"/>
    <w:rsid w:val="009E6424"/>
    <w:rsid w:val="00A54F45"/>
    <w:rsid w:val="00AA343C"/>
    <w:rsid w:val="00B915B7"/>
    <w:rsid w:val="00CA7F31"/>
    <w:rsid w:val="00D16A18"/>
    <w:rsid w:val="00D9356F"/>
    <w:rsid w:val="00EA59DF"/>
    <w:rsid w:val="00EE4070"/>
    <w:rsid w:val="00F12C76"/>
    <w:rsid w:val="00FE6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FE56"/>
  <w15:chartTrackingRefBased/>
  <w15:docId w15:val="{DB7D77F5-5E29-419B-B3ED-340BA1BA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0A7"/>
    <w:pPr>
      <w:spacing w:line="240" w:lineRule="auto"/>
    </w:pPr>
    <w:rPr>
      <w:rFonts w:ascii="Times New Roman" w:hAnsi="Times New Roman"/>
      <w:sz w:val="28"/>
    </w:rPr>
  </w:style>
  <w:style w:type="paragraph" w:styleId="1">
    <w:name w:val="heading 1"/>
    <w:basedOn w:val="a"/>
    <w:next w:val="a"/>
    <w:link w:val="10"/>
    <w:uiPriority w:val="9"/>
    <w:qFormat/>
    <w:rsid w:val="009768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768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7686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97686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97686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9768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7686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7686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7686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86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7686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7686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7686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7686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7686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7686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7686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7686F"/>
    <w:rPr>
      <w:rFonts w:eastAsiaTheme="majorEastAsia" w:cstheme="majorBidi"/>
      <w:color w:val="272727" w:themeColor="text1" w:themeTint="D8"/>
      <w:sz w:val="28"/>
    </w:rPr>
  </w:style>
  <w:style w:type="paragraph" w:styleId="a3">
    <w:name w:val="Title"/>
    <w:basedOn w:val="a"/>
    <w:next w:val="a"/>
    <w:link w:val="a4"/>
    <w:uiPriority w:val="10"/>
    <w:qFormat/>
    <w:rsid w:val="0097686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6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86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768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686F"/>
    <w:pPr>
      <w:spacing w:before="160"/>
      <w:jc w:val="center"/>
    </w:pPr>
    <w:rPr>
      <w:i/>
      <w:iCs/>
      <w:color w:val="404040" w:themeColor="text1" w:themeTint="BF"/>
    </w:rPr>
  </w:style>
  <w:style w:type="character" w:customStyle="1" w:styleId="22">
    <w:name w:val="Цитата 2 Знак"/>
    <w:basedOn w:val="a0"/>
    <w:link w:val="21"/>
    <w:uiPriority w:val="29"/>
    <w:rsid w:val="0097686F"/>
    <w:rPr>
      <w:rFonts w:ascii="Times New Roman" w:hAnsi="Times New Roman"/>
      <w:i/>
      <w:iCs/>
      <w:color w:val="404040" w:themeColor="text1" w:themeTint="BF"/>
      <w:sz w:val="28"/>
    </w:rPr>
  </w:style>
  <w:style w:type="paragraph" w:styleId="a7">
    <w:name w:val="List Paragraph"/>
    <w:basedOn w:val="a"/>
    <w:uiPriority w:val="34"/>
    <w:qFormat/>
    <w:rsid w:val="0097686F"/>
    <w:pPr>
      <w:ind w:left="720"/>
      <w:contextualSpacing/>
    </w:pPr>
  </w:style>
  <w:style w:type="character" w:styleId="a8">
    <w:name w:val="Intense Emphasis"/>
    <w:basedOn w:val="a0"/>
    <w:uiPriority w:val="21"/>
    <w:qFormat/>
    <w:rsid w:val="0097686F"/>
    <w:rPr>
      <w:i/>
      <w:iCs/>
      <w:color w:val="2E74B5" w:themeColor="accent1" w:themeShade="BF"/>
    </w:rPr>
  </w:style>
  <w:style w:type="paragraph" w:styleId="a9">
    <w:name w:val="Intense Quote"/>
    <w:basedOn w:val="a"/>
    <w:next w:val="a"/>
    <w:link w:val="aa"/>
    <w:uiPriority w:val="30"/>
    <w:qFormat/>
    <w:rsid w:val="009768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7686F"/>
    <w:rPr>
      <w:rFonts w:ascii="Times New Roman" w:hAnsi="Times New Roman"/>
      <w:i/>
      <w:iCs/>
      <w:color w:val="2E74B5" w:themeColor="accent1" w:themeShade="BF"/>
      <w:sz w:val="28"/>
    </w:rPr>
  </w:style>
  <w:style w:type="character" w:styleId="ab">
    <w:name w:val="Intense Reference"/>
    <w:basedOn w:val="a0"/>
    <w:uiPriority w:val="32"/>
    <w:qFormat/>
    <w:rsid w:val="0097686F"/>
    <w:rPr>
      <w:b/>
      <w:bCs/>
      <w:smallCaps/>
      <w:color w:val="2E74B5" w:themeColor="accent1" w:themeShade="BF"/>
      <w:spacing w:val="5"/>
    </w:rPr>
  </w:style>
  <w:style w:type="paragraph" w:styleId="ac">
    <w:name w:val="Normal (Web)"/>
    <w:basedOn w:val="a"/>
    <w:uiPriority w:val="99"/>
    <w:semiHidden/>
    <w:unhideWhenUsed/>
    <w:rsid w:val="000B65A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l.ru/drugs/pharm-group/1713" TargetMode="External"/><Relationship Id="rId5" Type="http://schemas.openxmlformats.org/officeDocument/2006/relationships/hyperlink" Target="https://www.vidal.ru/drugs/clinic-group/33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1076</Words>
  <Characters>6138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Hi-TECH</cp:lastModifiedBy>
  <cp:revision>48</cp:revision>
  <dcterms:created xsi:type="dcterms:W3CDTF">2026-01-28T18:47:00Z</dcterms:created>
  <dcterms:modified xsi:type="dcterms:W3CDTF">2026-02-18T16:08:00Z</dcterms:modified>
</cp:coreProperties>
</file>